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1C1312" w:rsidRDefault="001C1312" w:rsidP="001C1312">
      <w:pPr>
        <w:ind w:left="9214" w:firstLine="698"/>
        <w:jc w:val="both"/>
        <w:rPr>
          <w:rFonts w:ascii="Times New Roman" w:hAnsi="Times New Roman" w:cs="Times New Roman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CB2FE0">
        <w:rPr>
          <w:rFonts w:ascii="Times New Roman" w:hAnsi="Times New Roman" w:cs="Times New Roman"/>
        </w:rPr>
        <w:t>№ 5</w:t>
      </w:r>
      <w:r w:rsidR="00CB2FE0">
        <w:rPr>
          <w:rFonts w:ascii="Times New Roman" w:hAnsi="Times New Roman" w:cs="Times New Roman"/>
          <w:lang w:val="kk-KZ"/>
        </w:rPr>
        <w:t>7</w:t>
      </w:r>
      <w:r w:rsidR="00CB2FE0">
        <w:rPr>
          <w:rFonts w:ascii="Times New Roman" w:hAnsi="Times New Roman" w:cs="Times New Roman"/>
        </w:rPr>
        <w:t xml:space="preserve"> от «</w:t>
      </w:r>
      <w:r w:rsidR="00CB2FE0">
        <w:rPr>
          <w:rFonts w:ascii="Times New Roman" w:hAnsi="Times New Roman" w:cs="Times New Roman"/>
          <w:lang w:val="kk-KZ"/>
        </w:rPr>
        <w:t>12</w:t>
      </w:r>
      <w:r w:rsidRPr="00DE4A1F">
        <w:rPr>
          <w:rFonts w:ascii="Times New Roman" w:hAnsi="Times New Roman" w:cs="Times New Roman"/>
        </w:rPr>
        <w:t>»</w:t>
      </w:r>
      <w:r w:rsidR="00DE4A1F" w:rsidRPr="00DE4A1F">
        <w:rPr>
          <w:rFonts w:ascii="Times New Roman" w:hAnsi="Times New Roman" w:cs="Times New Roman"/>
        </w:rPr>
        <w:t xml:space="preserve"> февраля</w:t>
      </w:r>
      <w:r w:rsidR="00731F8F" w:rsidRPr="00DE4A1F">
        <w:rPr>
          <w:rFonts w:ascii="Times New Roman" w:hAnsi="Times New Roman" w:cs="Times New Roman"/>
        </w:rPr>
        <w:t xml:space="preserve"> 202</w:t>
      </w:r>
      <w:r w:rsidR="00731F8F" w:rsidRPr="00DE4A1F">
        <w:rPr>
          <w:rFonts w:ascii="Times New Roman" w:hAnsi="Times New Roman" w:cs="Times New Roman"/>
          <w:lang w:val="kk-KZ"/>
        </w:rPr>
        <w:t>1</w:t>
      </w:r>
      <w:r w:rsidR="00900669" w:rsidRPr="00DE4A1F">
        <w:rPr>
          <w:rFonts w:ascii="Times New Roman" w:hAnsi="Times New Roman" w:cs="Times New Roman"/>
        </w:rPr>
        <w:t xml:space="preserve"> года</w:t>
      </w:r>
      <w:r w:rsidRPr="001C131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Pr="001C1312">
        <w:rPr>
          <w:rFonts w:ascii="Times New Roman" w:hAnsi="Times New Roman" w:cs="Times New Roman"/>
          <w:lang w:val="kk-KZ"/>
        </w:rPr>
        <w:t xml:space="preserve">Бейсенбеков С.З. </w:t>
      </w:r>
      <w:r w:rsidRPr="001C131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</w:t>
      </w:r>
      <w:r w:rsidRPr="001C1312">
        <w:rPr>
          <w:rFonts w:ascii="Times New Roman" w:hAnsi="Times New Roman" w:cs="Times New Roman"/>
        </w:rPr>
        <w:t>_</w:t>
      </w:r>
      <w:r w:rsidRPr="001C1312">
        <w:rPr>
          <w:rFonts w:ascii="Times New Roman" w:hAnsi="Times New Roman" w:cs="Times New Roman"/>
          <w:lang w:val="kk-KZ"/>
        </w:rPr>
        <w:t xml:space="preserve"> </w:t>
      </w:r>
    </w:p>
    <w:p w:rsidR="00B140B3" w:rsidRPr="00B140B3" w:rsidRDefault="001C1312" w:rsidP="00B140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61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536"/>
        <w:gridCol w:w="869"/>
        <w:gridCol w:w="974"/>
        <w:gridCol w:w="1210"/>
        <w:gridCol w:w="1560"/>
        <w:gridCol w:w="1328"/>
        <w:gridCol w:w="1364"/>
        <w:gridCol w:w="1325"/>
      </w:tblGrid>
      <w:tr w:rsidR="00537264" w:rsidRPr="00537264" w:rsidTr="00267EE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лота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Техническая спецификация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(тенге)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(тенге)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и условия поставки (в соответствии ИНКОТЕРМС 2010)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платежа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Шприц инъекционный инсулиновый 1мл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инъекционный трехкомпонентный инсулиновый стерильный однократного применения объемом 1мл  модификация: со съемной иглой 30G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5 мл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мл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22G, трех компонентный стерильный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Шприц 10 мл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мл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22G, трех компонентный стерильный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3 018 400,00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 для вливания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 с иглой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Система для вливания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 с иглой 21G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 для переливания крови 18 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переливания крови, ее компонентов и заменителей, а также для поддержания водного баланса в случае, когда пациент не в состоянии принимать достаточный объем жидкости перорально. Система включает следующие компоненты: игла, линия проводящая, роликовый регулятор потока, капельная камера, фильтр, коннектор. Состав: поливинилхлорид, полиэтилен высокой плотности; нержавеющая сталь; АБС; полипропилен; каучук. Размер иглы: 18G. Длина проводящей линии: в пределах 1500-1600 мм, внутренний диаметр в пределах 2,5 - 2,8 мм. Скорость потока жидкости: не более 10 мин/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20 капель/мл.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Канюля внутривенная периферическая c инъекционным клапаном, размерами: 16G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16G, с инъекционным портом и фиксирующими крылышками, на стилете, длина  в пределах 45,0 - 50,0мм.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2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180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размерами: 18G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18G, с инъекционным портом и фиксирующими крылышками, на стилете, длина в пределах 45,0 - 50,0мм. 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 не более 1,5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размерами: 20G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20G, с инъекционным портом и фиксирующими крылышками, на стилете, длина в пределах 30,0 - 35,0 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1.2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50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периферический c инъекционным клапаном,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размерами: 22G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Инфузионные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22G, с инъекционным портом и фиксирующими крылышками,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на стилете, длина в пределах 23,0 - 27,0 мм. Ультратонкая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не более 1.0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не менее 30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Стерилизована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оксидом этилена. Рекомендованное максимальное время использования не менее 3 суток.  Применяется для внутривенных вливаний лекарственных средств,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растворов.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Краник трехходовой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Краник трехходовой должен обеспечивать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одновременную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нескольких препаратов через один венозный доступ. Корпус трехходового краника должен быть изготовлен из поликарбоната. Рукоятка должна иметь направляющие стрелки. Скорость потока трехходового краника: 525±10%  и выдерживать давление до 5 бар. Предназначены для соединения со стандартными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инфузионными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линиями.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Удлинитель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насосов 150см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Линия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проводящая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терапии. Изделия должно быть совместимым с любыми шприцевыми насосами. Устойчивость к давлению до 4 бар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уменьшенным объемом заполнения, и герметичным винтовым коннектором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Люэр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обеих сторон. Максимальное время использования не менее 90 часов Стерильные, одноразовые,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Трубка изготовлена из поливинилхлорида (ПВХ).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Линия, проводящая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Y-образным портом и регулятором скорости потока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Регулятор скорости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потока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применяемый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препаратов, требующих дозированного введения. Диапазон регулятора потока в пределах min.5 -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250мл/ч.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одного или одновременно нескольких препаратов через один венозный доступ. Стерильные, одноразовые,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7,0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7,0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Прозрачная, светлая, стандартно изогнутая,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встроенная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трубка выпускается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без него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педиатрические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). 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нанесены отметки расстояния до дистального конца (в сантиметрах) для контроля глубины стояния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 интубации.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Изготовлена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термопластичного ПВХ или полипропилена; нержавеющей стали и силикона. Четко видимые маркировки, указывающие длину трубки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27 см; диаметр наружный 9,3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7,5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и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7,5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зделие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должно изготовлено из термопластичного ПВХ или полипропилена; нержавеющей стали и силикона, с четко видимыми маркировками, указывающие длину трубки Состав изделия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стерильная, одноразового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использования.Длина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в пределах 25-27 см: диаметр наружный  9-12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8,0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8,0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изогнутая,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Изделие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должно быть изготовлена из термопластичного ПВХ или полипропилена; нержавеющей стали и силикона с четко видимыми маркировками, указывающие длину трубки. Состав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в пределах 27-29 см; диаметр наружный 10-10,7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 с манжетой 8,5 мм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полоской. 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трубка: 8,5 мм.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Мерфи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полоска для визуализации положения трубки. По длине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Изделие должно быть изготовлено из термопластичного ПВХ или полипропилена; нержавеющей стали и силикона, с четко видимыми маркировками, указывающие длину трубки  Состав изделия без латекса,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фталатов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одноразового использования. Длина трубки в пределах 28-29 см; диаметр наружный 11-11,3 мм.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Фильтр дыхательного контура,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бактеривирусный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тепло-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обменным эффектом, с портом для мониторинга газа стерильный.  Эффективное время работы 24 часа.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Дыхательный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вирусо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-бактериальный фильтр для защиты пациента, персонала, аппаратуры в дыхательных и анестезиологических контурах, для взрослых  с портом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герметизирующим колпачком, 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антиокклюзионным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механизмом, с внутренними ламелями и диффузором распределения потока, соединение типа 22F/15M - 22M/15F, эффективность фильтрации не менее 99,99 %, сопротивление потоку должна составлять не менее 28л/мин и не более 33л/мин,  объем не более 65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мл, масса не более 30г, минимальный дыхательный объем не менее 200 мл. Эффективное время работы не менее 23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ребуемый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состав технологических материалов: полипропилен, акрил, керамика. Упаковка должна быть индивидуальной и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Контур дыхательный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вентиляцонный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резервным мешком 2л взрослый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Контур дыхательный для соединения аппаратов НДА и ИВЛ с пациентом. Контур дыхательный анестезиологический реверсивный циркуляционный растягивающийся конфигурируемый для взрослых. Диаметр не менее 19мм не более 23мм.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Длина контура должна составлять не менее 2 м в растянутом состоянии, в сжатом - не более 0,8 м. Сопротивление контура в сжатом состоянии при потоке 60 л/мин (инспираторный и экспираторный каналы) не более 1,5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растянутом - не более 1,6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Комплаенс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контура в сжатом состоянии не более 0,1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в растянутом – не более 0,5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На пациента шланги контура соединены на Y-образном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параллельном соединителе 22М-22М-22М/15F. На пациента - угловой переходник (к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трубке, к маске) с портом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коннекция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15М-22М/15F. Соединитель закрыт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тест-защитным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колпачком с грибком для держателя шлангов.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Коннекция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шлангов  контура на аппарат 22F.   Дополнительный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шланг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растягивающийся конфигурируемый длина не менее 1,5 м в растянутом состоянии, в сжатом - не более 0,8 м. Сопротивление дополнительного шланга в сжатом состоянии не более 0,1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растянутом не более 0,6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Резервный дыхательный мешок - рабочий объём 2,0 л, рабочее давление не менее 40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мбар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утечка не более 3,3 мл/мин. Посадочный размер соединительного коннектора 22F. Коннектор мешка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антиокклюзионной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конструкцией, исключающей непроходимость газа при манипуляциях с мешком и исключающей залипание. Принадлежности: соединитель 22М-22М. Масса контура: брутто – не более 231 г, нетто – не более 125 г. Не должно содержать латекса. Упаковка: индивидуальная, клинически чистая. Срок годности (срок гарантии): 5 лет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Соединители для дыхательных контуров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Соединитель гибкий угловой для соединения контура дыхательного с маской, надгортанным воздуховодом,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интубационной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трубкой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возможностью санации. 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Соединитель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растягивающийся конфигурируемый угловой 22F-22М/15F, с двойным шарниром, с герметичным  портом -  двойной колпачок 7,6/9,5 м мм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эластомерной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герметизирующей чистящей манжетой.  Длина  7,0-15,0 см. Материал из полиэтилен, полипропилен,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эластомер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паковка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индивидуальная,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1 100 750,00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G-21,23,25, Представляет собой гибкую, тонкую прозрачную трубку длиной 300 мм, которая позволяет проводить манипуляции вдали от места венепункции, снижая риск смещения иглы и случайного повреждения вены. С одного конца катетера-бабочки имеется соединение типа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Luer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 или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Луер-Лок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 защитным колпачком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F18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Желудочная трубка для одноразового применения, открытого типа. Размеры: 18. Длина не  более 125см и не менее 70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 ПВХ. Желудочная трубка - для желудочного зондирования с лечебной или диагностической целью.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 F20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Желудочная трубка для одноразового применения,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открытого типа. Размеры: 20. Длина не  более 125см и не менее 70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 ПВХ. Желудочная трубка - для желудочного зондирования с лечебной или диагностической целью.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календарных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г. Алматы, ул.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 течение 30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16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16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18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2-х ходовой однократного применения стерильный, размерами: 18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3-х ходовой однократного применения стерильный, размерами: 16 FR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Фолея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3-х ходовой однократного применения стерильный, размерами: 16 FR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107 100,00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3 (для пациентов с массой тела 30-60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 6,0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20шт. Срок годности, стерильности (срок гарантии): 3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4 (для пациентов с массой тела 50-90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 7,0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20шт. Срок годности, стерильности (срок гарантии): 4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5 (для пациентов с массой тела более 90 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размером не более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8,0 мм,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14Fr).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20 шт. Срок годности, стерильности (срок гарантии): 3 года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 2,5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2,5 (для пациентов с массой тела 25-35кг,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 размером не более 5,0 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8 шт. Срок годности, стерильности (срок гарантии): 2 года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дней по факту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маска с манжетой №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Воздуховод надгортанный для обеспечения проходимости дыхательных путей при наркозе и ИВЛ во время операций, а также, при неудавшейся интубации, в экстренных случаях, может использоваться в качестве проводника и т.п.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Прозрачный воздуховод, вводимый в ротоглотку с мягкой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нераздуваемой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манжетой из термопластичного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гелеподобного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эластомера, с блокатором надгортанника, с встроенным защитным усилением воздуховода, уплощенная и вогнутая форма проксимальной части воздуховода выполняет роль ротового стабилизатора, с 15-миллиметровым цилиндрическим коннектором типа 15М, желудочным каналом с проксимальным портом, размер 2 (для пациентов с массой тела 10-25кг, для проведения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 размером не более 5,0 мм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назогастрального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размером 12Fr). Маркировка на корпусе воздуховода: размера, весовой категории, идеального уровня положения зубов. Требуемый состав технологических материалов: полиэтилен высокого давления, полипропилен, эластомер специальный.  Упаковка: индивидуальная, стерильная. В упаковочном ящике не менее 8 шт. Срок годности, стерильности (срок гарантии): 2 года от даты изготовления.    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Кислородная маска высокой концентрации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₂ для взрослых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в комплекте с трубкой и клапаном кислородная высокой концентрации для кислородной терапии. Маска лицевая для взрослых с носовым зажимом, с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шариковым индикатором частоты дыхания и симметрично расположенным клапаном выдоха, с резервным мешком, с кислородным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стандартным шлангом, длина не менее 1,8 м, с головным фиксатором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Материал: полипропилен, полиэтилен, нержавеющая сталь. Упаковка: индивидуальная, клинически чистая. Срок годности (срок гарантии): 5 лет от даты изготовления.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течение 30 (тридцати) банковских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  <w:lang w:eastAsia="ru-RU"/>
              </w:rPr>
              <w:t>Маска анестезиологическая/наркозная с предварительно наполненной манжетой для взрослых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дыхательного контура анестезиологическая  лицевая для проведения масочного наркоза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неинвазивной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искусственной вентиляции лёгких,  в том числе с системами для ручного искусственного дыхания,  с манжетой (ободом) с предварительным наддувом, в прозрачном корпусе, с коннектором соединительным типа 22М, с  устройством фиксации - кольцом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маскодержателя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четырьмя фиксаторами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цветоиндикацией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большая для взрослых размер 5.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Требуемый состав технологических материалов: полипропилен, полиэтилен, не содержит латекса. Упаковка: индивидуальная, клинически чистая. Срок годности (срок гарантии): 5 лет от даты изготовления.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одноканальный, одноразовый стерильный, с принадлежностями для применения, Размер 7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Катетер (1- просветный)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полосой для легкой визуализации. Мягкий,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конический наконечник снижает вероятность травмы сосуда во время введения и обеспечивает легкое и плавное введение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есовместимые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препараты могут вводиться одновременно через отдельные просветы. Размещается в яремную или подключичную вену. Скорость потока: дистальная - 75-120 мл/мин. Проводник (прямой; J-образный):0.80 х 60 см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игла: 18G; . В комплекте: 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инъекционными колпачками, размером:  14G: длина не более 19см и не менее 21см;  диаметр в пределах 2.0-2.4 мм.,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толкателем, Скальпель 11'', Сосудистый дилататор - 2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игла, Шприц 5 мл, Зажим - 2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Запорный кран,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иглой, Салфетка хирургическая, Салфетка марлевая - 5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(2- просветный) 7Fr длиной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7Fr; длиной: 20см; в комплекте с принадлежностями для установки. В состав изделия должны входить следующие наименования: 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 (14G/18G); длиной: 20см; диаметр 2.30 мм,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толкателем 1 штука, скальпель 11 размера 1 штука, сосудистый дилататор - 2 штуки,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1 штука, Шприц 5 мл 1 штука, Зажим - 2 штуки, Запорный кран 1 штука,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1 штука, Салфетка хирургическая, Салфетка марлевая - 5 штук. Катетер (2-просветный) должен быть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полосой для легкой визуализации, с мягким,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коническим наконечником снижающий вероятность травмы сосуда во время введения и обеспечивающее легкое и плавное введение катетера,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свозможностью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введения несовместимых препаратов одновременно через отдельные просветы. Скорость потока: проксимальная - 25-40 мл/мин, дистальная - 55-100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роводник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(прямой; J-образный):0.032” x 60см.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игла: 18G; не более 68 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65мм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(3- просветный) 7Fr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Катетер центральный венозный 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7Fr; длиной: 20см; в комплекте с принадлежностями для установки. В набор изделия должны входить следующие наименования: Катетер центральный венозный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Harsoria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полиуретановый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инъекционными колпачками, размером:  7Fr;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(G16/18/18) длиной: 20см, Проводник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нитиноловый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толкателем 1 штука, Скальпель 11 размера 1 штука, Сосудистый дилататор - 2 штуки, Y-образная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 1 штука, Шприц 5 мл 1 штука, Зажим - 2 штуки, Запорный кран 1 штука, Шовный материал с хирургической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полуизогнутой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иглой 1 штука, Салфетка хирургическая, Салфетка марлевая - 5 штук.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Катетер (3- просветный) должен быть изготовлен из гибкого полиуретана с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полосой для легкой визуализации, с мягким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коническим наконечником снижающее вероятность травмы сосуда во время введения и обеспечивающее легкое и плавное введение катетера, с возможностью вливания несовместимых препаратов одновременно через отдельные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просветы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корость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потока: проксимальная - 15-30 мл/мин, дистальная - 35-65 мл/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мин,медиальный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15-30 мл/мин., Проводник (прямой; J-образный):0.80 x 60 см,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Интродьюсерная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игла: 18G длиной   не более 68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65мм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взрослая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взрослых с удлинительным шлангом длиной не менее 1,8 м, длина всей системы не менее 2,3 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сужающиеся, продольно-армированный кислородный шланг - исключается запирание канала при перегибе и обеспечивается равномерность потока, с регулировкой и фиксацией положения канюли.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Требуемый состав технологических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мплантационно-нетоксичный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поливинилхлорид, полипропилен. Упаковка: индивидуальная, клинически чистая. Срок годности (срок гарантии): 5 лет от даты изготовления.     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детская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детей длиной 0,5м с удлинительным шлангом длиной не менее 1,8м, длина всей системы не менее 2,3м,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1,9/9,4 мм с базой 10,5мм,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кислородный шланг - исключается запирание канала при перегибе и обеспечивается равномерность потока, с регулировкой 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фиксацией положения канюли, соединение с источником - стандартное 6мм,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эластомерное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Соединитель канюли с трубкой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транспарентный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имплантационно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-нетоксичный поливинилхлорид. Упаковка: индивидуальная, клинически чистая. Срок годности (срок гарантии): 5 лет от даты изготовления.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12 480,00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20G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мм - без проводниковой иглы размерами  20G.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Отличительные особенности продукта Широкий диапазон типоразмеров 20 G острие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Применение Иглы предназначены для проведения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спинальной анестезии при проведении хирургических вмешательств.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26G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90 - с проводниковой иглы размерами , 26 G (0,45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G(острие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иглы);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27G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не менее 90 - с проводниковой иглы размерами , 27 G (0,4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иглой,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 острые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Игла спинальная для региональной анестезии тип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размерами 28G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Иглы спинальные для региональной анестезии длина 90 - с проводниковой иглы размерами ,29 G (0,32 мм)- 22 G*38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/мм  с проводниковой иглой Широкий диапазон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-размеров 18-29 G острые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Квинке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c проводниковой иглы,  Наличие прозрачного окна визуализации в павильоне иглы с эффектом увеличительного стекла, позволяет быстро определять обратный ток ликвора с позиционированием иглы в субарахноидальном пространстве;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Специальный дизайн бокового отверстия иглы и подогнанная длина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мандрена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позволяют исключить эффект биопсии при пункции; Наличие удобного захвата на павильоне иглы для проведения мероприятий.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Эсмарха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одноразовая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Эсмарха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одноразовая стерильная предназначена для проведения лечебных или очистительных клизм, стерильная, индивидуальная упаковка, предназначена для одноразового использования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Марля медицинская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Марля медицинская отбеленная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Форма рулон, намотанная на втулку без перекосов и свисания кромок; Размер – длина 1000 м, ширина см 90+-10,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Пряжа хлопчатобумажная, поверхностная плотность 30-38 г\м кв., число нитей на 10см, по основе-108-2, по утку-76-3, разрывная нагрузка полоски ткани размером 50*200мм по основе – 9,0 кгс, по утку не менее 4,0 кгс; переплетение - полотняное. В транспортной упаковке.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Прозрачная повязка размером 7смх8,5см.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пленочная повязка для фиксации катетеров с рамкой для наложения из тонкой полиуретановой пленки, покрытой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гипоаллергенным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водоотталкивающим,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акрилатным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клеем. С двумя полосками тканевого пластыря для лучшей фиксации и одна полоска бумажного пластыря для записей для периферического наложения размером 7смх8,5см.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 пленочная повязка размером 5смх5,7см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катетеров с рамкой для наложения из тонкой полиуретановой пленки, покрытой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гипоаллергенным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водоотталкивающим,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акрилатным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клеем.  С двумя полосками тканевого пластыря для лучшей фиксации и одна полоска бумажного пластыря для записей. Размером 5смх5,7см.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Повязка для фиксации внутривенных катетеров размер повязки 8,5x11,5см.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центральных катетеров с рамкой для наложения с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безвредным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адгезивом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полиакрилатом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Размером 8,5смх11,5см. Содержит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гелевую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подушечку с 2%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глюконатом размером 3смх4см. Оказывает длительное антимикробное действие. Применяется для фиксации и защиты места введения универсальных катетеров и других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чрескожных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устройств. На повязке имеется участок, усиленный мягкотканым пластырным материалом, две стерильные фиксирующие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тырные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полоски обеспечивают наилучшую фиксацию катетера, и одна полоска бумажного пластыря для записей. Индивидуально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Повязка для фиксации внутривенных катетеров размер повязки 10 х 15,5 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Стерильная пленочная повязка для фиксации центральных катетеров с рамкой для наложения с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безвредным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адгезивом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полиакрилатом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Размером 10смх15,5см. Содержит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гелевую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подушечку с 2%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глюконатом размером 3смх7см. Оказывает длительное антимикробное действие. Применяется для фиксации и защиты места введения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универсальных катетеров и других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чрескожных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устройств. На повязке имеется участок, усиленный мягкотканым пластырным материалом, две стерильные фиксирующие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тырные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полоски обеспечивают наилучшую фиксацию катетера, и одна полоска бумажного пластыря для записей. Индивидуально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упакована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пленочный конверт, запаянный холодным способом.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Антимикробная стерильная разрезаемая операционная пленка для долгосрочных операций размером 56смх 60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операционная разрезаемая пленка из полиэфира, толщиной не более 0,025 мм. Предназначены для использования в качестве разрезаемых пленок длительного антимикробного действия. Хирургический разрез проводится непосредственно через пленку, которая создает стерильную поверхность в области операционного поля. Содержат антимикробный компонент (йод) в составе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которым покрывается пленка. Йод также придает пленке антистатический эффект. Адгезивный слой нанесен только на разрезаемую часть пленки. Края пленки, на которые не нанесен адгезивный слой – бесцветные. Пленка обладает свойствами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паропроницаемости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прилегаемости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некоторой растяжимости, что позволяет накладывать ее на рельефные участки тела. Антисептик, который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состав клея пленок эффективен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подавления роста микроорганизмов, часто вызывающих инфекции в области хирургической раны. Пленка размещена на прокладке с обработкой силиконом и имеет бумажную прокладку. Пленка размещена на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вощенной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бумаге, завернута внутрь, дополнительно сверху завернута в вощенную бумагу, для сохранения качества пленки. Края пленки по длине - бесцветные, полупрозрачные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краям для наложения на операционное поле. Размер разрезаемого операционного поля 56см*60см. Двойная упаковк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индивидуальная - из фольги, общая-картон. Состав не должно содержать латекс.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Антимикробная стерильная разрезаемая операционная пленка для долгосрочных операций размером 56смх 85 см.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Стерильная операционная разрезаемая пленка из полиэфира, толщиной не более 0,025 мм. Предназначены для использования в качестве разрезаемых пленок длительного антимикробного действия. Хирургический разрез проводится непосредственно через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пленку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которая создает стерильную поверхность в области операционного поля. Содержат антимикробный компонент (йод) в составе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которым покрывается пленка. Йод также придает пленке антистатический эффект.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Адгезивный слой нанесен только на разрезаемую часть пленки. Края пленки, на которые не нанесен адгезивный слой – бесцветные. Пленка обладает свойствами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паропроницаемости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прилегаемости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некоторой растяжимости, что позволяет накладывать ее на рельефные участки тела. Антисептик, который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состав клея пленок эффективен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подавления роста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микроорганизмов, часто вызывающих инфекции в области хирургической раны. Пленка размещена на прокладке с обработкой силиконом и имеет бумажную прокладку. Пленка размещена на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вощенной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бумаге, завернута внутрь, дополнительно сверху завернута в вощенную бумагу, для сохранения качества пленки. Края пленки по длине - бесцветные, полупрозрачные без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адгезива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краям для наложения на операционное поле. Размер разрезаемого операционного поля 56см*85см. Двойная упаковк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индивидуальная - из фольги, общая-картон. Количество штук в упаковке 10, в заводской коробке 4 упаковки. Состав не должно содержать латекс.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7 662 200,00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5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180, Фосфат 165, Мочевина 141, Витамин B12 88,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228, Фосфат 200, Мочевина 164, Витамин  B12 94; Коэффициент ультрафильтрации не менее 8, Материал корпуса: Полипропилен, Заливочный состав: Полиуретан, Метод стерилизации: Линейный пар   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1 198 500,00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8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191, Фосфат 178, Мочевина 160, Витамин  B12 107,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254, Фосфат 225,Мочевина 194, Витамин  B12 120, Коэффициент клиренса при кровотоке 400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293, Фосфат 252, Мочевина 213, Витамин  B12 126, Коэффициент ультрафильтрации не менее  12, Материал корпуса: Полипропилен, Заливочный состав: Полиуретан, Метод стерилизации: Линейный пар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Диализатор капиллярный с мембраной стерильный, однократного применения, размер: 10 (1 м²)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Коэффициент клиренса при кровотоке 200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193, Фосфат 181,Мочевина 170, Витамин  B12 121, Коэффициент клиренса при кровотоке 300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261, Фосфат 231,Мочевина 210, Витамин  B12  138, Коэффициент клиренса при кровотоке 400 мл/мин составляет не менее: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303, Фосфат 260,Мочевина 233, Витамин  B12 146, Коэффициент ультрафильтрации не менее 14, Материал корпуса: Полипропилен, Заливочный состав: Полиуретан, Метод стерилизации: Линейный пар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(артериальные) стерильные, однократного применения, размер: 16GA-R25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для центрального венозного доступа в гемодиализе,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Фистульные иглы должны иметь красный зажим для идентификации артериальных фистульных игл с фиксированными и вращающимися крылышками.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Вращающейся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крылышки обеспечивает максимальный контроль и легкую фиксацию во время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канюлирования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Защитные фистульные иглы предназначены для гемодиализа,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Игла также может использоваться в другой терапии, требующей экстракорпорального контура или когда нужно извлечь большой объем крови из кровообращения пациента, например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отделение биомассы. Игла предназначена для предупреждения острой травмы, чтобы защитить пользователей от инфицирования. Также иметь стопор протектора для ее фиксации со звуком щелчка. Тип крылышка: R, Диаметр иглы / Длина:1,6х25 мм, Длина трубки: 150мм.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(венозные) стерильные, однократного применения, размер: 16GV-R25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для центрального венозного доступа в гемодиализе,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Фистульные иглы должны иметь синий зажим для идентификации венозных фистульных игл с фиксированными и вращающимися крылышками.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Вращающейся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крылышки обеспечивает максимальный контроль и легкую фиксацию во время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канюлирования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Защитные фистульные иглы предназначены для гемодиализа,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Игла также может использоваться в другой терапии, требующей экстракорпорального контура или когда нужно извлечь большой объем крови из кровообращения пациента, например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отделение биомассы. Игла предназначена для предупреждения острой травмы, чтобы защитить пользователей от инфицирования. Также иметь стопор протектора для ее фиксации со звуком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щелчка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крылышка: R, Диаметр иглы / Длина:1,6х25 мм, Длина трубки: 150мм.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диализной жидкости на аппарат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диализной жидкости на аппарат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S, для приготовление сверхчистой диализной жидкости, Проверка целости фильтра должен производится в ходе самодиагностики аппарата, Период использования/ обмен фильтра: ≥ 300 мл/ч*мм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рт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также, ≥ 3,75 л/мин*бар, Максимальное давление фильтрации не менее 2 бар, Материал корпуса: Полипропилен, Материал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герметика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олиуретан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Площадь поверхности не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менне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м2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Бикарбонатный картридж  650 гр.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экстракорпорального бикарбонатного гемодиализа или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Количество, достаточное для проведения бикарбонатного диализа длительностью 5-6 часов 650г. при скорости потока диализата 500 мл/мин и концентрации бикарбоната натрия не менее 32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 в готовом к использованию гемодиализом растворе.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только для одного сеанса диализа. Бикарбонат натрия для гемодиализа порошок однократного применения, стерильный, в пакетах: 650 г представляет собой химически чистую соль бикарбоната натрия, в полиэтиленовом мешке, предназначен для бикарбонатного диализа.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Используется для приготовления диализного раствора при проведении бикарбонатного гемодиализа, без ПВХ.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4 154 000,00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Наборы для подключения и отключения пациентов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процедуре гемодиализа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перевязочных материалов для гемодиализа, и его предполагаемое применение заключается в использовании в качестве вспомогательного набора перевязочных материалов для подключения пациентов с нарушением функции почек к аппаратам гемодиализа и отключения от них с целью проведения гемодиализа. Данное изделие предназначено только для пациентов, которые проходят диализную терапию. 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подключения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ерчатки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медперсонала; Пелёнка 50 х 50 см; Пластырь не тканный: 2.5 х 14.5 см -4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1.3 х 14.5 см – 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Двойные салфетки 8 х 7 см – 6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Набор для отключение: Перчатки для медперсонала по размеру, Перчатки для пациента; Стерильная салфетка на тканевой основе 4 </w:t>
            </w:r>
            <w:proofErr w:type="spellStart"/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Пластырь тканевой с фиксатором;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для гемодиализа в наборе артерия-вена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Магистрали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наборе артерия-вена предназначены для использования в аппаратах для гемодиализа при проведении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стандартной процедуры гемодиализа. Данные магистрали не  должны содержать натурального латекса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представляют собой трубки из пластика, снабженные приспособлениями для подсоединения, ловушкой для воздуха, фильтром для крови и зажимами. Материал: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магистраль из мягкого ПВХ медицинского предназначения, коннекторы и другие компоненты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Поликарбонат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ПВХ (поливинилхлорид), АБС (акрилонитрил-бутадиен-стирол), ПЭ (полиэтилен), ПА (полиамид). Размеры 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Насосный сегмент в пределах 7,0мм- 9,0мм, Венозная пузырьковая ловушка в пределах 21мм-23мм, Объем наполнения не менее 150мл и не более 160мл, Разъемы: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Луэра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Стерилизация: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3 813 000,00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ткрытый с обеих сторон, с проводником)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трубку с открытым спиральным дистальным концом. Размер 4,8 СН, длина не более 28 см. Дренажные отверстия расположены с интервалами от 5 до 20 мм.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с тефлоновым покрытием, с гибким наконечником длина не менее 100см и не более 150 см. Стилет-катетер не менее 40 см длиной. Материал: полиуретан, не содержит латекс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фталаты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Упаковка индивидуальная, стерильная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Срок годности (срок гарантии): 5 лет с даты производства.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1 551 675,00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ткрытый с обеих сторон, без проводника)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трубку с открытым спиральным дистальным концом. Размер 4,8 СН, длина не более 28 см. Дренажные отверстия расположены с интервалами от 5 до 20 мм.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Стент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с тефлоновым покрытием, с гибким наконечником не менее 100см и не более 150 см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Стилет-катетер  не менее 40 см длиной. Материал: полиуретан, не содержит латекс 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фталаты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Упаковка индивидуальная, стерильная. Срок годности (срок гарантии): 5 лет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даты производства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6 206 700,00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цистомии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14F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цистостомии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стерильный, однократного применения, размером 14F,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длиной 45 см. для создания хирургическим путем искусственного надлобкового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мочепузырного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свища. Изделие асептическое,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апирогенное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стерилизованное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нетоксичное,</w:t>
            </w: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одноразового использования. Катетер должен быть изготовлен из полиуретана высшего качества, покрытый силиконом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наборе: Катетер 14F длиной 45 см,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Разрывная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иглаинтродьюсер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14F, длиной 120 мм, Кожный фиксатор, Шприц 10 мл, Скальпель и Зажим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 пленка 24х30 №100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рентгеновская пленка для AGFA 24х30 №100  является синечувствительной и используется для общей радиологии высокой контрастности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енсибилизирована на длинах волн 370 и 450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что обеспечивает резкость изображения при высокой максимальной оптической плотности и имеет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полиэстироловую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подложку насыщенного синего цвета, что в значительной степени облегчает восприятие и прочтение изображения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442 200,00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Рентген пленка 30х40 №100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рентгеновская пленка для AGFA 30х40 №100  является синечувствительной и используется для общей радиологии высокой контрастности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енсибилизирована на длинах волн 370 и 450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что обеспечивает резкость изображения при высокой максимальной оптической плотности и имеет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полиэстироловую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подложку насыщенного синего цвета, что в значительной степени облегчает восприятие и прочтение изображения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739 600,00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Термографическая пленка 35х43 № 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Медицинская термографическая пленка для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принтера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AGFA DRYSTAR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размером 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35х43 №100 10х12 дюймов Пленка на 168-микронной подложке Максимальная оптическая плотность:&gt;3.0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олностью утилизируемая упаковка. Дневная загрузка (пленка не чувствительна к свету)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Термоэмульсионный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слой изготовлен  на основе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активатора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роки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архивирования соответствуют требованиям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103 920,00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5 196 000,00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Термографическая пленка 20Х25 №100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BB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Медицинская термографическая пленка для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принтера 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AGFA DRYSTAR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размером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20,3х25,4 №100 8х10 дюймов. Пленка на 168-микронной подложке. Максимальная оптическая плотность:&gt;3.0. Полностью утилизируемая упаковка. Дневная загрузка (пленка не чувствительна к свету)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Термоэмульсионный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слой изготовлен  на основе и активатора.  Сроки архивирования соответствуют требованиям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цифровая 35x43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для рентген плено</w:t>
            </w:r>
            <w:r w:rsidR="00BB33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размер 35*43см для оцифровщик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ов CR MD4 0T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General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SET 35x43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cm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CR 30X/30Xm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4 207 000,00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Термографическая пленка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Fuji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35х43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Термографическая пленка 35х43 Пленка медицинская DI-HL формата 35*43 см, для "сухой" печати и воспроизведения снимков компьютерной томографии, магниторезонансной томографии, диагностических рентгеновских исследований, ангиографических исследований,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маммографических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исследований и пр. исследований. Полная совместимость с медицинскими лазерными принтерами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DryPix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4000,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DryPix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6000. Технические характеристики: Подложка – холодный голубой тон. Толщина подложки 175 микрон. Лазерное экспонирование. Минимальная оптическая плотность, D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0,21. Максимальная оптическая плотность, D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max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3,4. Уровни градации 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серого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bit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Размер 35 х43 см.  Количество листов пленки в одной пачке листов </w:t>
            </w: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100.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75 996,00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3 799 800,00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Ланцеты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Ланцеты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AccuChek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Performa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Nano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Количество ланцетов в упаковке 200шт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 полоски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Тест полоски для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глюкометра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AccuChek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Performa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Nano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Количество полосок в упаковке не менее 50штук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1 706 250,00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10*10см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10*10см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1 822 500,00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10*20см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10*20см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1 830 400,00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537264" w:rsidRPr="00537264" w:rsidTr="00267EE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264" w:rsidRPr="00CB2FE0" w:rsidRDefault="00537264" w:rsidP="00CB2F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Полотно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нетканное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стерильное размером 20*30см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Повязка состоит из нетканого антимикробного сорбционного полотна. состоящее из нетканого материала  (ацетат целлюлозы), Активные центры (нано-частицы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оксигидроксида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алюминия</w:t>
            </w:r>
            <w:proofErr w:type="gram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размером 100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нм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Коллоидное серебро  0,001 % масс. (для подавления роста бактерий внутри повязки) для лечения ожоговых ран II-IIA степени, </w:t>
            </w:r>
            <w:proofErr w:type="spellStart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Атравматичная</w:t>
            </w:r>
            <w:proofErr w:type="spellEnd"/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полиамидная сетка. стерильное размером 20*30см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2 802 800,00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Алматы, ул. Папанина 220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4" w:rsidRPr="00537264" w:rsidRDefault="00537264" w:rsidP="0053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2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140B3" w:rsidRPr="00B140B3" w:rsidSect="00DE4A1F">
      <w:footerReference w:type="default" r:id="rId9"/>
      <w:pgSz w:w="16838" w:h="11906" w:orient="landscape"/>
      <w:pgMar w:top="707" w:right="1134" w:bottom="1418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D0" w:rsidRDefault="008808D0" w:rsidP="00D84FCC">
      <w:pPr>
        <w:spacing w:after="0" w:line="240" w:lineRule="auto"/>
      </w:pPr>
      <w:r>
        <w:separator/>
      </w:r>
    </w:p>
  </w:endnote>
  <w:endnote w:type="continuationSeparator" w:id="0">
    <w:p w:rsidR="008808D0" w:rsidRDefault="008808D0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Content>
      <w:p w:rsidR="00267EED" w:rsidRDefault="00267EE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8EC">
          <w:rPr>
            <w:noProof/>
          </w:rPr>
          <w:t>5</w:t>
        </w:r>
        <w:r>
          <w:fldChar w:fldCharType="end"/>
        </w:r>
      </w:p>
    </w:sdtContent>
  </w:sdt>
  <w:p w:rsidR="00267EED" w:rsidRDefault="00267E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D0" w:rsidRDefault="008808D0" w:rsidP="00D84FCC">
      <w:pPr>
        <w:spacing w:after="0" w:line="240" w:lineRule="auto"/>
      </w:pPr>
      <w:r>
        <w:separator/>
      </w:r>
    </w:p>
  </w:footnote>
  <w:footnote w:type="continuationSeparator" w:id="0">
    <w:p w:rsidR="008808D0" w:rsidRDefault="008808D0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238EC"/>
    <w:rsid w:val="001C1312"/>
    <w:rsid w:val="002059A2"/>
    <w:rsid w:val="00234D0D"/>
    <w:rsid w:val="00267EED"/>
    <w:rsid w:val="002976B0"/>
    <w:rsid w:val="00297E2F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37264"/>
    <w:rsid w:val="0055280A"/>
    <w:rsid w:val="00561F20"/>
    <w:rsid w:val="005867C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C0583"/>
    <w:rsid w:val="00836C0E"/>
    <w:rsid w:val="00844AAE"/>
    <w:rsid w:val="008808D0"/>
    <w:rsid w:val="008A1EFC"/>
    <w:rsid w:val="008A5216"/>
    <w:rsid w:val="008E2EA3"/>
    <w:rsid w:val="00900669"/>
    <w:rsid w:val="0091369F"/>
    <w:rsid w:val="00945AF7"/>
    <w:rsid w:val="0098451B"/>
    <w:rsid w:val="009C03FA"/>
    <w:rsid w:val="009F77B3"/>
    <w:rsid w:val="00A95211"/>
    <w:rsid w:val="00AB755E"/>
    <w:rsid w:val="00AF57A4"/>
    <w:rsid w:val="00B140B3"/>
    <w:rsid w:val="00B330A5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D50A41"/>
    <w:rsid w:val="00D84FCC"/>
    <w:rsid w:val="00DE0559"/>
    <w:rsid w:val="00DE168B"/>
    <w:rsid w:val="00DE4A1F"/>
    <w:rsid w:val="00E72D55"/>
    <w:rsid w:val="00E92AA1"/>
    <w:rsid w:val="00EA07C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F563-F070-4A1A-9564-4B8EED05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8843</Words>
  <Characters>50410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2</cp:revision>
  <cp:lastPrinted>2021-02-15T17:55:00Z</cp:lastPrinted>
  <dcterms:created xsi:type="dcterms:W3CDTF">2021-02-22T18:55:00Z</dcterms:created>
  <dcterms:modified xsi:type="dcterms:W3CDTF">2021-02-22T18:55:00Z</dcterms:modified>
</cp:coreProperties>
</file>