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FA54DC">
      <w:pPr>
        <w:keepNext/>
        <w:tabs>
          <w:tab w:val="left" w:pos="326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08C6E226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>«</w:t>
      </w:r>
      <w:r w:rsidR="000D50EF">
        <w:rPr>
          <w:rFonts w:ascii="Times New Roman" w:eastAsia="Times New Roman" w:hAnsi="Times New Roman" w:cs="Times New Roman"/>
          <w:b/>
          <w:lang w:val="kk-KZ" w:eastAsia="ru-RU"/>
        </w:rPr>
        <w:t>02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0D50EF">
        <w:rPr>
          <w:rFonts w:ascii="Times New Roman" w:eastAsia="Times New Roman" w:hAnsi="Times New Roman" w:cs="Times New Roman"/>
          <w:b/>
          <w:lang w:eastAsia="ru-RU"/>
        </w:rPr>
        <w:t>апреля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237218">
        <w:rPr>
          <w:rFonts w:ascii="Times New Roman" w:eastAsia="Times New Roman" w:hAnsi="Times New Roman" w:cs="Times New Roman"/>
          <w:b/>
          <w:lang w:eastAsia="ru-RU"/>
        </w:rPr>
        <w:t>21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14FF32F8" w:rsidR="00834A3A" w:rsidRPr="001D2D1B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1D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D2D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</w:p>
    <w:p w14:paraId="54063182" w14:textId="494BBA21" w:rsidR="00CB6380" w:rsidRPr="00554022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54022" w:rsidRPr="0055402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554022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14:paraId="0CA62C42" w14:textId="26FB7246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</w:t>
      </w:r>
      <w:r w:rsidR="00554022" w:rsidRPr="0055402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55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727BC6D4" w:rsidR="005826BB" w:rsidRPr="003C3F68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3C3F68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554022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53F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</w:t>
      </w:r>
      <w:r w:rsidR="003C3F68" w:rsidRPr="003C3F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1EAA5B1D" w14:textId="72C0F531" w:rsidR="001D2D1B" w:rsidRPr="001D2D1B" w:rsidRDefault="00834A3A" w:rsidP="00FA54D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2D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FA54DC" w:rsidRPr="00FA54D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83</w:t>
      </w:r>
      <w:r w:rsidR="00FA54D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 </w:t>
      </w:r>
      <w:r w:rsidR="00FA54DC" w:rsidRPr="00FA54D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571</w:t>
      </w:r>
      <w:r w:rsidR="00FA54D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FA54DC" w:rsidRPr="00FA54D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054</w:t>
      </w:r>
      <w:r w:rsidR="001D2D1B" w:rsidRPr="0020503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,00</w:t>
      </w:r>
      <w:r w:rsidR="001D2D1B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</w:t>
      </w:r>
      <w:r w:rsidR="00FA54DC" w:rsidRPr="00FA54D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восемьдесят три миллиона пятьсот семьдесят одна тысяча пятьдесят четыре</w:t>
      </w:r>
      <w:r w:rsidR="001D2D1B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тенге, 00 </w:t>
      </w:r>
      <w:proofErr w:type="spellStart"/>
      <w:r w:rsidR="001D2D1B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тиын</w:t>
      </w:r>
      <w:proofErr w:type="spellEnd"/>
      <w:r w:rsidR="001D2D1B" w:rsidRPr="0020503C">
        <w:rPr>
          <w:rFonts w:ascii="Times New Roman" w:hAnsi="Times New Roman" w:cs="Times New Roman"/>
          <w:b/>
          <w:sz w:val="24"/>
          <w:szCs w:val="24"/>
        </w:rPr>
        <w:t>;</w:t>
      </w:r>
    </w:p>
    <w:p w14:paraId="33BD5FC3" w14:textId="716DBF17" w:rsidR="00CE60D8" w:rsidRPr="001D2D1B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="000D50E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из одного источника </w:t>
      </w:r>
      <w:proofErr w:type="spellStart"/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3C3F68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.п</w:t>
      </w:r>
      <w:proofErr w:type="spellEnd"/>
      <w:r w:rsidR="003C3F68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. 1, п. 116, главы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</w:t>
      </w:r>
      <w:r w:rsidR="00237218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«Правил</w:t>
      </w:r>
      <w:r w:rsidR="007953F4" w:rsidRPr="001D2D1B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14:paraId="4813B470" w14:textId="77777777" w:rsidR="00237218" w:rsidRPr="00237218" w:rsidRDefault="00237218" w:rsidP="002372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0915" w:type="dxa"/>
        <w:tblInd w:w="93" w:type="dxa"/>
        <w:tblLook w:val="04A0" w:firstRow="1" w:lastRow="0" w:firstColumn="1" w:lastColumn="0" w:noHBand="0" w:noVBand="1"/>
      </w:tblPr>
      <w:tblGrid>
        <w:gridCol w:w="620"/>
        <w:gridCol w:w="2230"/>
        <w:gridCol w:w="4111"/>
        <w:gridCol w:w="851"/>
        <w:gridCol w:w="850"/>
        <w:gridCol w:w="993"/>
        <w:gridCol w:w="1260"/>
      </w:tblGrid>
      <w:tr w:rsidR="00FA54DC" w:rsidRPr="00FA54DC" w14:paraId="3C1BAA51" w14:textId="77777777" w:rsidTr="00FA54DC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9C8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EA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404" w14:textId="7518EFB8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D08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EA0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465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410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FA54DC" w:rsidRPr="00FA54DC" w14:paraId="10E802A4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EE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192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Бедренный компонент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C119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Бедренный компонент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коленного сустава  изготавливается из Кобальт-Хром-Молибденового сплава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Co-Cr-Mo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Используется при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тотальном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эндопротезировании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коленного сустава при поражениях коленного сустава различной этиологии. Бедренный компонент коленного сустава является цементируемым. В межмыщелковом пространстве несет на себе "картер-бокс"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заднестабилизирующего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выступа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тибиального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вкладыша. Общая ширина  с 57 до 73 мм, общая глубина с 53 до70,5 мм. Цементируемый бедренный компонент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коленного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тотального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выпускается в версиях для левой и правой конечностей по 6 типоразмеров 1,5 - 5 на каждую сторону.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BB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AC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D6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41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3 942 000</w:t>
            </w:r>
          </w:p>
        </w:tc>
      </w:tr>
      <w:tr w:rsidR="00FA54DC" w:rsidRPr="00FA54DC" w14:paraId="6B7B7ECA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E7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09D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Тибиальный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компонент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C14B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Тибиальный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компонент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коленного сустава изготавливается из сплава Кобальт-Хром-Молибден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Co-Cr-Mo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Используется при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тотальном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эндопротезировании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коленного сустава и устанавливается на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больеберцовую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кость. Фиксация - цементная.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Тибиальный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компонент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универсальный и может использоваться как на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левой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так и на правой конечности. Служит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основанием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котором во время операции фиксируется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тибиальный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вкладыш. 6 типоразмеров.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52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42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F3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4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2 727 000</w:t>
            </w:r>
          </w:p>
        </w:tc>
      </w:tr>
      <w:tr w:rsidR="00FA54DC" w:rsidRPr="00FA54DC" w14:paraId="2D59A4AB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C0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1C2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Тибиальный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вкладыш  Материал полиэтилен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FF7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Высокомолекулярный полиэтилен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фиксируется на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тибиальном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компоненте. 6 типоразмеров (1,5 -5),  с 5 подвидами толщины 8 - 17,5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3E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9F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81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64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1 242 000</w:t>
            </w:r>
          </w:p>
        </w:tc>
      </w:tr>
      <w:tr w:rsidR="00FA54DC" w:rsidRPr="00FA54DC" w14:paraId="749AAFAA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1C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171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Ножка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берденная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бесцементная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Титановый сплав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3972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Ножка должна иметь клиновидную самозаклинивающуюся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рехточечная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фиксация должна обеспечивать стабильность конструкции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Самозаклинивающая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клиновидная форма ножки должна обеспечивать превосходную первичную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стабильность.Изгиб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внутренней поверхности ножки должен соответствовать  геометрии проксимального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отдела.В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верхнем отделе ножки должно находиться резьбовое отверстие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направителя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Угол между шейкой и собственно ножкой должен быть 135 градусов.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Текстурированная поверхность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диафизарной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ножки должна обеспечивать стабильность ножки за счет обрастания её костью и снижать вероятность появления болей в бедре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Полированная дистальная часть ножки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пулевидной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формы должна предотвращать болевой синдром. Офсет пропорционально увеличивается с увеличением размера ножки , Длина ножки должна иметь размерность  от 115мм до 170мм, не менее 9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типоразмеов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истальный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диаметр ножки должен иметь 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размерность от 5,7мм. до 11.2мм, не менее 9 размеров, с шагом не более 1мм.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Материал-титановый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сплав(Ti6al4V)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B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65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DF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D2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4 747 080</w:t>
            </w:r>
          </w:p>
        </w:tc>
      </w:tr>
      <w:tr w:rsidR="00FA54DC" w:rsidRPr="00FA54DC" w14:paraId="204BECD4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23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95B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Чаша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ацетабулярная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вкладыш Материал высокомолекулярный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полиэтелен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6CD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Бесцементная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чаша-титан +вклады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ш-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высокомолекулярный полиэтилен. Вертлужный компонент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бесцементной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фиксации состоит из чашки, изготовленной из сплава Ti-6AL-4V или эквивалент, и вкладыша из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сверхвысокомолекулярного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полиэтилена . Чашка должна иметь форму полусферы и имеет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плазменно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спреевое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пористое покрытие Метод фиксации чашки – пресс–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 3 отверстиями в куполе для дополнительной фиксации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винтами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нешний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диаметр вертлужного компонент должен иметь следующие размеры: от 44±1мм до 60±1мм не менее 9 размеров, внутренний  диаметр вкладыша должна иметь диаметр 24мм. и 28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7B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10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7D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C6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2 678 520</w:t>
            </w:r>
          </w:p>
        </w:tc>
      </w:tr>
      <w:tr w:rsidR="00FA54DC" w:rsidRPr="00FA54DC" w14:paraId="15CE4C84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99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EA7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Головка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бедреная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EA5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Должна быть изготовлена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кобальт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хром молибдена  или эквивалент. Должна фиксироваться на ножке при помощи конусовидной центрирующей шейки с минимальным диаметром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заходная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часть) 12мм и максимальным (основание конуса)  Материал головки должен обеспечивать коэффициент трения в паре со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сверхвысокомолекулярным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полиэтиленом на уровне  коэффициента трения в здоровом естественном суставе человека (не более 0,04).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Типоразмерный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ряд головок должен обеспечить выбор наиболее оптимального варианта «ножка-головка» для максимальной адаптации имплантата к индивидуальным анатомическим особенностям пациента, а также обеспечить стабильность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эндопротеза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Размеры: Количество типоразмеров-не менее 7. Не менее 2 для головок диаметром 24мм с длиной шейки в пределах от не менее 0мм до 3.5 мм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,. 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не менее 5 типоразмеров для головок диаметром 28мм с длиной шейки в пределах не менее от 1,5 до 15.5 мм.. Наличие маркировки и индивидуальной стерильной упаковки.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FD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0A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B4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30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1 219 920</w:t>
            </w:r>
          </w:p>
        </w:tc>
      </w:tr>
      <w:tr w:rsidR="00FA54DC" w:rsidRPr="00FA54DC" w14:paraId="34C27409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1E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686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Винт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ацетабулярной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чашки для крепления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10E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винтовой дополнительной фиксации  через отверстия в куполе вертлужного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компонета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бесцементной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фиксации нескольких типоразмеров по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длинне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D3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90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EA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7D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119 340</w:t>
            </w:r>
          </w:p>
        </w:tc>
      </w:tr>
      <w:tr w:rsidR="00FA54DC" w:rsidRPr="00FA54DC" w14:paraId="09827C3D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F3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81A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Компонент бедренный ANTHEM, PS узкий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AABC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Тип-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заднестабилизированный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Тип фиксации-цементная, Форм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анатомической формы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левый,правый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размеры 1, 2, 3, 4, 5, 6. Переднезадний размер / медиально-латеральный размер 47/54мм, 51/56мм, 54/58мм, 54/62 мм, 58/62мм, 58/66мм, 61/66мм, 61/70мм, 65/69мм, 65/73мм, 70/77мм, 75/80мм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80мм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(конкретный типоразмер меняется в соответствии с заявкой заказчика в зависимости от размера пациента)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орма бедренного компонента обеспечивает физиологичную S-образную траекторию движения надколенника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открытый картер-бокс (без верхней металлической стенки) для заднего стабилизатора. Материал  сплав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E7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1D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AC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8B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2 600 000</w:t>
            </w:r>
          </w:p>
        </w:tc>
      </w:tr>
      <w:tr w:rsidR="00FA54DC" w:rsidRPr="00FA54DC" w14:paraId="6FC40317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38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1B0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 бедренный ANTHEM, PS стандартный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B071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Тип-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заднестабилизированный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Тип фиксации-цементная, Форм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анатомической формы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левый,правый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, Размеры 3, 4, 5, 6,7,8. Переднезадний размер / медиально-латеральный размер 47/54мм, 51/56мм, 54/58мм, 54/62 мм, 58/62мм, 58/66мм, 61/66мм, 61/70мм, 65/69мм, 65/73мм, 70/77мм, 75/80мм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80мм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(конкретный типоразмер меняется в соответствии с заявкой заказчика в зависимости от размера пациента)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орма бедренного компонента обеспечивает физиологичную S-образную траекторию движения надколенника- открытый картер-бокс (без верхней металлической стенки) для заднего стабилизатора" Материал  сплав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A2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53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71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1D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2 600 000</w:t>
            </w:r>
          </w:p>
        </w:tc>
      </w:tr>
      <w:tr w:rsidR="00FA54DC" w:rsidRPr="00FA54DC" w14:paraId="32522F51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89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675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 бедренный , CR узкий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8051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Тип-с сохранением задней крестообразной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связки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фиксации-цементная, Материал сплав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CoCr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 Размеры 1, 2, 3, 4, 5, 6. Переднезадний размер / медиально-латеральный размер 47/54мм, 51/56мм, 54/58мм, 54/62 мм, 58/62мм, 58/66мм, 61/66мм, 61/70мм, 65/69мм, 65/73мм, 70/77мм, 75/80мм (конкретный типоразмер меняется в соответствии с заявкой заказчика в зависимости от размера пациента). Форма - анатомической формы (левый, правый) - форма бедренного компонента обеспечивает физиологичную S-образную траекторию движения надколенника,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48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60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B5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B1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2 600 000</w:t>
            </w:r>
          </w:p>
        </w:tc>
      </w:tr>
      <w:tr w:rsidR="00FA54DC" w:rsidRPr="00FA54DC" w14:paraId="36817DC0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7B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11E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 бедренный ANTHEM, CR 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стандартный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5EBB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Тип-с сохранением задней крестообразной связки, Тип фиксации-цементная, Материал сплав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CoCr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 Размеры 3, 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4, 5, 6,7,8, Переднезадний размер / медиально-латеральный размер 47/54мм, 51/56мм, 54/58мм, 54/62 мм, 58/62мм, 58/66мм, 61/66мм, 61/70мм, 65/69мм, 65/73мм, 70/77мм, 75/80мм (конкретный типоразмер меняется в соответствии с заявкой заказчика в зависимости от размера пациента)., Форма - анатомической формы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левый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,- форма бедренного компонента обеспечивает физиологичную S-образную траекторию движения надколенника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5D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A2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8A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D4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2 600 000</w:t>
            </w:r>
          </w:p>
        </w:tc>
      </w:tr>
      <w:tr w:rsidR="00FA54DC" w:rsidRPr="00FA54DC" w14:paraId="5BCC736C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A3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7AE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Компонент большеберцовый ANTHEM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E007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Тип-анатомический (для левого коленного сустава)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фиксации-цементная, Материал Титановый сплава Ti6Al4V , Размеры Количество 1,2,3,4,5,6,7,8  Переднезадний размер / медиально-латеральный размер: 42 / 60, 45 / 64, 48 / 68, 50 / 71, 52 / 74, 54 / 77, 56 / 81, 59 / 85 мм (конкретный типоразмер, меняется в соответствии с заявкой заказчика в зависимости от размера пациента).,Форма- анатомической формы (левый, правый), - поверхность, обращенная к суставу, полированная. , - в компонент встроен наклон кзади в 3 градуса.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нижней стороны компонента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антиротационный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киль высотой 40 мм, с крыловидными расширениями, заканчивающимися на высоте 30 мм."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304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951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CB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96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4 800 000</w:t>
            </w:r>
          </w:p>
        </w:tc>
      </w:tr>
      <w:tr w:rsidR="00FA54DC" w:rsidRPr="00FA54DC" w14:paraId="29AE6C96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E1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265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 ANTHEM, PS HF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заднестабилизированный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4C59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Тип-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заднестабилизированный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Тип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фиксации-Фиксация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большеберцовом компоненте – защелкиванием, Материал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Ультравысокомолекулярный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полиэтилен, Размеры Количество типоразмеров по высоте - 7 с высотой 1-2, 3-4, 5-6, 7-8, 9мм, 11мм, 13мм, 15мм, 18мм, включая толщину плато большеберцового компонента (конкретный типоразмер меняется в соответствии с заявкой заказчика в зависимости от размера пациента).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Совместимость Один вкладыш совместим с двумя размерами большеберцового компонента и с пятью размерами бедренных компонентов (с тремя размерами бедренных компонентов в случае крайних положений в модельном ряду)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орма- универсальный для правого и левого суставов, - с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заднестабилизированным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рожком , - встроенный уклон кзади 4 градуса.»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9E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53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A1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F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</w:t>
            </w:r>
          </w:p>
        </w:tc>
      </w:tr>
      <w:tr w:rsidR="00FA54DC" w:rsidRPr="00FA54DC" w14:paraId="27913274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49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2DB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 ANTHEM, CR HF с сохранением ЗКС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AFC7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Тип-c сохранением задней крестообразной связки, Тип фиксации-Фиксация в большеберцовом компоненте – защелкиванием, Материал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Ультравысокомолекулярный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полиэтилен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Размеры Количество типоразмеров по высоте - 5 с высотой 9мм, 11мм, 13мм, 15мм, 18мм включая толщину плато большеберцового компонента (конкретный типоразмер меняется в соответствии с заявкой заказчика в зависимости от размера пациента).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Совместимость один вкладыш совместим с двумя размерами большеберцового компонента и с пятью размерами бедренных компонентов (с тремя размерами бедренных компонентов в случае крайних положений в модельном ряду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)., 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– универсальный для правого и левого суставов, - встроенный уклон кзади 5 градуса»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56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22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76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84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</w:t>
            </w:r>
          </w:p>
        </w:tc>
      </w:tr>
      <w:tr w:rsidR="00FA54DC" w:rsidRPr="00FA54DC" w14:paraId="6632A327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3A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F8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для мениска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Omnispan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96BB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должна быть предназначена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артроскопической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фиксации  разрывов мениска, должна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представлять из себя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иглы, изогнутые под углом не более и не менее 0°, 12°, 27° на которых закреплены 2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импланта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Импланты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должны быть изготовлены из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нерассасывающегося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рентгеннегативного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материала. Нить должна быть толщиной 2/0, частично рассасывающаяся.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FD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DE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2A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55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</w:t>
            </w:r>
          </w:p>
        </w:tc>
      </w:tr>
      <w:tr w:rsidR="00FA54DC" w:rsidRPr="00FA54DC" w14:paraId="31148F38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09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3AA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Винт шовный, титановый,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HealFix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3.5мм, с двумя нитями 2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/БГ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4501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Винт шовный титановый предназначен для прикрепления мягких тканей к кости. Поставляется стерильным. Винт шовный титановый вместе с не рассасывающими нитями крепится на устройстве ввода и имплантируется путём вкручивания. Диаметр винта 3.5 и 5.0 мм, длина винта 13.0 и 15 мм. Устройство ввода состоит из стержня вставного устройства и ручки вставного устройства. Может поставляться с иглами и без игл.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884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89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776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A2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</w:t>
            </w:r>
          </w:p>
        </w:tc>
      </w:tr>
      <w:tr w:rsidR="00FA54DC" w:rsidRPr="00FA54DC" w14:paraId="234036C6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AE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349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Винт шовный, титановый,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HealFix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5.0 мм, с двумя нитями 2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/БГ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1F1C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84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7B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17A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7E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</w:t>
            </w:r>
          </w:p>
        </w:tc>
      </w:tr>
      <w:tr w:rsidR="00FA54DC" w:rsidRPr="00FA54DC" w14:paraId="3305860A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11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92E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Сверло 2,5мм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HealFix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3,5мм и 5,0мм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2FA4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 должен быть изготовлен из нержавеющей стали. Должен представлять  собой стержень с рабочей частью - сверлом диаметром 2,5мм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предназначенным для винтов шовных 3,5/5,0мм.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EE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00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F63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F8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95 294</w:t>
            </w:r>
          </w:p>
        </w:tc>
      </w:tr>
      <w:tr w:rsidR="00FA54DC" w:rsidRPr="00FA54DC" w14:paraId="485559F7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B1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33F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Винт шовный PEEK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SolidPrint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4.5мм, с двумя нитями, 2БГ/Б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FFD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Винт шовный имплантируемый должен представлять собой цилиндрической формы винт. Открытый и вентилируемый дизайн способствует прорастанию костной ткани, ускоряет заживление. Расширенная конструкция анкера с полной резьбой обеспечивает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значительно большую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резьбу, обеспечивающую большую силу отрыва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остеопоротической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кости. Инструмент для вставки достигает кончика анкера, 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распределяет нагрузку и обеспечивает лучшую работу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торсионной нагрузки. Фиксатор изготовлен из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рентгенопрозрачного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высокопрочного материала. Диаметр винта шовного 4,5мм. Поставляться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должен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стерильной упаковке, 1 шт. в упаковке.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76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17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ECB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0D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1 125 000</w:t>
            </w:r>
          </w:p>
        </w:tc>
      </w:tr>
      <w:tr w:rsidR="00FA54DC" w:rsidRPr="00FA54DC" w14:paraId="16A4FC78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30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404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Пробойник резьбовой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FusionLoc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4.5 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0B73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 должен быть изготовлен из нержавеющей стали. Предназначен для шовных винтов 4,5мм. Длина инструмента 278мм. Эргономичная ручка для удобства хирурга и простоты использования. Длина рукоятки 120мм.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51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B1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7D9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A7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376 200</w:t>
            </w:r>
          </w:p>
        </w:tc>
      </w:tr>
      <w:tr w:rsidR="00FA54DC" w:rsidRPr="00FA54DC" w14:paraId="1311E531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DC4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6E8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Винт шовный PEEK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GripLo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4.75мм, c нитью.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1C12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Винт шовный предназначен для прикрепления мягких тканей к кости.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Безузловой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дизайн: лучший вариант для техники двойного ряда. Максимальная сила фиксации.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Канюлированная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вентилируемая конструкция способствует прорастанию костной ткани.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Канюлированная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вентилируемая конструкция способствует прорастанию костной ткани. Эргономичная ручка для удобства хирурга и простоты использования.  Поставляется стерильным. Диаметр винта 4,75мм. Может поставляться с лентой и без ленты.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A4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FA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454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29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1 215 000</w:t>
            </w:r>
          </w:p>
        </w:tc>
      </w:tr>
      <w:tr w:rsidR="00FA54DC" w:rsidRPr="00FA54DC" w14:paraId="75997C82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B5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077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Пробойник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GripLoc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4.75мм/5.5мм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OutPrint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4.5/5.5 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6FA4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 должен быть изготовлен из нержавеющей стали. Предназначен для шовных винтов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,75мм и 5,5мм. Длина инструмента 257мм. Эргономичная ручка для удобства хирурга и простоты использования.  Длина рукоятки 117мм.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9E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E9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42B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AA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376 200</w:t>
            </w:r>
          </w:p>
        </w:tc>
      </w:tr>
      <w:tr w:rsidR="00FA54DC" w:rsidRPr="00FA54DC" w14:paraId="260AE1A5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84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F75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Ример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ретроградный, большеберцовый, 7.0мм, 8.0мм, 9.0мм, 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64C9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Ример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ретроградный, большеберцовый, диаметром 7.0мм, 8.0мм, 9.0мм. Ретроградный дизайн обеспечивает быстрый и точный костный туннель. Просверливание анатомического бедренного туннеля выполняется легко, нет необходимости в чрезмерном сгибании колена. Показания: реконструкция ПКС / ПКС, трансплантация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аллотрансплантата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мениска, реконструкция корня мениска.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6E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2B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8BC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644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</w:t>
            </w:r>
          </w:p>
        </w:tc>
      </w:tr>
      <w:tr w:rsidR="00FA54DC" w:rsidRPr="00FA54DC" w14:paraId="62EBE21D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2D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326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Нитепротягиватель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менисковый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EasyPass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B23E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Менисковый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нитепротягиватель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универсальный инструмент с эффективной упрощенной установкой в ограниченном пространстве и очень быстрым извлечением шва.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9C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F5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019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F0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1 980 000</w:t>
            </w:r>
          </w:p>
        </w:tc>
      </w:tr>
      <w:tr w:rsidR="00FA54DC" w:rsidRPr="00FA54DC" w14:paraId="30785F03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BD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F5E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менисковая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EasyPass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99B9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менисковая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35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70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4A5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78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4 500 000</w:t>
            </w:r>
          </w:p>
        </w:tc>
      </w:tr>
      <w:tr w:rsidR="00FA54DC" w:rsidRPr="00FA54DC" w14:paraId="20209A6F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16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2C8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Канюля силиконовая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TracPort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размерами 8×30мм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CA8E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Канюля силиконовая. Двухсторонняя низкопрофильная конструкция увеличивает рабочее пространство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артроскопии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Мягкий и гибкий материал исключает повреждение тканей. Специально разработанная закрытая структура и текстура помогают значительно снизить утечку жидкости. Подходит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артроскопии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колена, плеча и бедра. Размер 8х30. Бывают стерильными и нестерильными.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F4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56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768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97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</w:t>
            </w:r>
          </w:p>
        </w:tc>
      </w:tr>
      <w:tr w:rsidR="00FA54DC" w:rsidRPr="00FA54DC" w14:paraId="62272A62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D1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B06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Канюля силиконовая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TracPort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размерами 8×40мм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BEC8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Канюля силиконовая. Двухсторонняя низкопрофильная конструкция увеличивает рабочее пространство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артроскопии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Мягкий и гибкий материал исключает повреждение тканей. Специально разработанная закрытая структура и текстура помогают значительно снизить утечку жидкости. Подходит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артроскопии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колена, плеча и бедра. Размер 8х40. Бывают стерильными и нестерильными.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43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4D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333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72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</w:t>
            </w:r>
          </w:p>
        </w:tc>
      </w:tr>
      <w:tr w:rsidR="00FA54DC" w:rsidRPr="00FA54DC" w14:paraId="164D48FD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2F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F2C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Канюля резьбовая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TracPort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размерами 5×70мм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12A9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Канюля резьбовая. Оригинальный дизайн резьбы обеспечивает больше стабильный совместный подход. Разработанный из гибкого материала корпуса, уменьшает повреждение мягких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тканей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ргономичный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дизайн для оптимальной маневренности. Прозрачный корпус для удобной визуализации инструментов и швов. Размер 5х70. Бывают стерильными и нестерильными.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11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DD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6B4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5B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</w:t>
            </w:r>
          </w:p>
        </w:tc>
      </w:tr>
      <w:tr w:rsidR="00FA54DC" w:rsidRPr="00FA54DC" w14:paraId="720B1A4C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24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A264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Канюля резьбовая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TracPort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размерами 8×70мм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C3CD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Канюля резьбовая. Оригинальный дизайн резьбы обеспечивает больше стабильный совместный подход. Разработанный из гибкого материала корпуса, уменьшает повреждение мягких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тканей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ргономичный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дизайн для оптимальной маневренности. Прозрачный корпус для удобной визуализации инструментов и швов. Размер 8х70. Бывают стерильными и нестерильными.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16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CF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599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97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</w:t>
            </w:r>
          </w:p>
        </w:tc>
      </w:tr>
      <w:tr w:rsidR="00FA54DC" w:rsidRPr="00FA54DC" w14:paraId="69018C8B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4E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FDD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Peспиpaтop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дицинский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N95 MED FFР2 с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клaпaнoм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E65E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Peспиpaтop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дицинский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клaсс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зaщиты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FFР2 с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клaпaнoм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пятислoйный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пpoтивoжидкoстный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изгoтoвлeн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нeткaнoгo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мaтepиaлa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слoя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нeткaнoгo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мaтepиaлa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твepтый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пятый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aнтибaктepиaльным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фильтpoм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плoтнoстью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г/м.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Нoсoвaя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дeтaль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нaнoсник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): гибкий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пoлипpoпилeн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лoвнaя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пoвязкa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высoкoэлaстичный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пoлиуpeтaн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Paзмepы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10см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бoлee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13см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Высoтa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 см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бoлee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18см 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peзинкa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20см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бoлee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23см.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oднopaзoвoгo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льзoвaния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02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54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B0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A9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9 750 000</w:t>
            </w:r>
          </w:p>
        </w:tc>
      </w:tr>
      <w:tr w:rsidR="00FA54DC" w:rsidRPr="00FA54DC" w14:paraId="05A20D76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39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B56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убкa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cиликoнoвaя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мeдицинскaя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ТСМ 6/9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0DA1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ужный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9мм,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6мм,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тoлщинa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cтeнки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1.5мм.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изгoтaвливaютcя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cиликoнoвoй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cмecи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coдepжaть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пoливинилхлopид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уcл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60;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Нaпpяжeниe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50%,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 2,0(20);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пpoчнocти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/cм²)7,0(70); </w:t>
            </w: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тнocитeльнoe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cocтaвлять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220 - 560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Coпpoтивлeниe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paздиpу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Н/м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(кг/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12 - 30,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глaдкую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внутpeннюю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oбecпeчивaeмую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фopмooбpaзующим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инcтpумeнтoм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шepoхoвaтocтью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0,8 мкм.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бeз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пocтopoнних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вмятин,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тpeщин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быть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пpoзpaчными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пoлупpoзpaчными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живaют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иcпытaтeльнoe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дaвлeниe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15aтм.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иcпытaтeльнoм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внутpeннeм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дaвлeнии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aтм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нapужный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увeличивaeтcя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5-15 % (в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зaвиcимocти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иcхoдных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paзмepoв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удoбны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мoнтaжe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coчeтaют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пpoтивocтoяниe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cклaдывaнию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cтeнoк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изгибaх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paдиуc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изгибa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внутpeннeм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11-12мм) — 55 — 65 мм.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пpeднaзнaчeны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тpaнcпopтиpoвaния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дaвлeниeм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paзличных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гaзoвых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жидких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cpeд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чиcлe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питьeвoй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oчищeннoй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вoды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пaзoн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paбoчих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тeмпepaтуp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-60 (c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изгибaми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)/+150 — 200°C;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выдepживaют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мнoгoкpaтнoe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aвтoклaвиpoвaниe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37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62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24C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61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5 380 000</w:t>
            </w:r>
          </w:p>
        </w:tc>
      </w:tr>
      <w:tr w:rsidR="00FA54DC" w:rsidRPr="00FA54DC" w14:paraId="567F7277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EE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61C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убкa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cиликoнoвaя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мeдицинскaя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ТСМ 8/14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531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ужный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14мм,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8мм,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тoлщинa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cтeнки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3мм.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изгoтaвливaютcя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cиликoнoвoй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cмecи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coдepжaть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пoливинилхлopид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уcл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60;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Нaпpяжeниe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50%,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 2,2(22);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пpoчнocти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/cм²)7,0(70); </w:t>
            </w: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тнocитeльнoe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250 - 500,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Coпpoтивлeниe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paздиpу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Н/м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(кг/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15 - 25,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глaдкую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внутpeннюю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oбecпeчивaeмую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фopмooбpaзующим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инcтpумeнтoм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шepoхoвaтocтью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0,8 мкм.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бeз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пocтopoнних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вмятин,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тpeщин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быть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пpoзpaчными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пoлупpoзpaчными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живaют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иcпытaтeльнoe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дaвлeниe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15aтм.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иcпытaтeльнoм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внутpeннeм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дaвлeнии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aтм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нapужный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увeличивaeтcя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5-15 % (в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зaвиcимocти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иcхoдных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paзмepoв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удoбны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мoнтaжe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coчeтaют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пpoтивocтoяниe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cклaдывaнию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cтeнoк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изгибaх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paдиуc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изгибa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внутpeннeм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11-12мм) — 55 — 65 мм.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пpeднaзнaчeны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тpaнcпopтиpoвaния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дaвлeниeм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paзличных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гaзoвых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жидких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cpeд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чиcлe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питьeвoй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oчищeннoй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вoды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тaкжe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мoгут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иcпoльзoвaтьcя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тpaнcпopтиpoвaния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физиoлoгичecких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витaминных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лeкapcтвeнных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пищeвых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cpeд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дp.Диaпaзoн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paбoчих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тeмпepaтуp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-60 (c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изгибaми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)/+150 — 200°C;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выдepживaют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мнoгoкpaтнoe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aвтoклaвиpoвaниe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2A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249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30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A3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659 000</w:t>
            </w:r>
          </w:p>
        </w:tc>
      </w:tr>
      <w:tr w:rsidR="00FA54DC" w:rsidRPr="00FA54DC" w14:paraId="403D24DD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43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19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cиликoнoвый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дeкoмпpeccии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жeлудoчнo-кишeчнoгo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тpaктa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Зoнд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Шaлькoвa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ЗТДСУ 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A32F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изгoтaвливaтьcя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cиликoнoвoй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cмecи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coдepжaть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пoливинилхлopид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Твepдocть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уcл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70;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Нaпpяжeниe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50%,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/cм²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2,0(20);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пpoчнocти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/cм²)7,0(70);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Oтнocитeльнoe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250 - 500 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Coпpoтивлeниe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paздиpу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Н/м (кг/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15 - 25Тpубки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глaдкую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внутpeннюю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oбecпeчивaeмую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фopмooбpaзующим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инcтpумeнтoм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шepoхoвaтocтью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0,8 мкм.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бeз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пocтopoнних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вмятин,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тpeщин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oпpeдeлeнных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учacткaх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oтвepcтия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нaкoнeчник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oливы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быть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пpoзpaчными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пoлупpoзpaчными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spellEnd"/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2800 мм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нaкoнeчникoм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пoзвoляющeй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иcпoльзoвaть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зoнд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бeз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нaпpaвитeля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имeeть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24-27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oтвepcтий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pacпoлoжeнныe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cпиpaли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уплoтнитeльными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кoльцaми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Пepвoe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epcтиe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paccтoянии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бoлee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мм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нaкoнeчникa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Paзмepы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зoндa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 мм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paзмep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oтвepcтия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3,5*7 мм,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диaмeтpe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мм -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paзмep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oтвepcтия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4*8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BA4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F4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5F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85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1 044 000</w:t>
            </w:r>
          </w:p>
        </w:tc>
      </w:tr>
      <w:tr w:rsidR="00FA54DC" w:rsidRPr="00FA54DC" w14:paraId="2A200892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FE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E61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cиликoнoвыe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дpeниpoвaния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жeлчных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путeй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oбpaзнaя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внутpeнний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3мм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240мм ТС-Т-3-240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45D2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днaзнaчeны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oкaзaния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мeдицинcкoй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пoмoщи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oгpaничeннoму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кoнтингeнту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пaциeнтoв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ocoбo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тяжeлoй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пaтoлoгии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иcпoльзуeтcя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pacшиpeния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пpoтoкoв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oпухoлeвых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измeнeниях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пocлeoпepaциoнных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cужeний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чиcлe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удaлeния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oтлoжeний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вpeмя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пpoвeдeния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oпepaций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пoвышeннoй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cлoжнocти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изгoтaвливaтьcя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cмecи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cиликoнoвoй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coдepжaть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пoливинилхлopид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уcл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60;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Нaпpяжeниe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50%,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2,0(20);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пpoчнocти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7,0(70); </w:t>
            </w: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тнocитeльнoe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250 - 500,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Coпpoтивлeниe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paздиpу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Н/м (кг/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15 - 25,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Т-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oбpaзную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кoнфигуpaцию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глaдкую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внутpeннюю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oбecпeчивaeмую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фopмooбpaзующим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инcтpумeнтoм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шepoхoвaтocтью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0,8 мкм.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бeз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пocтopoнних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вмятин,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тpeщин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72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3A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4E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E32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1 916 000</w:t>
            </w:r>
          </w:p>
        </w:tc>
      </w:tr>
      <w:tr w:rsidR="00FA54DC" w:rsidRPr="00FA54DC" w14:paraId="42FDEC8C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BCD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B3E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cиликoнoвыe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дpeниpoвaния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жeлчных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путeй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oбpaзнaя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внутpeний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диaмeтp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5мм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240мм ТС-Т-5-240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2635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днaзнaчeны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oкaзaния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мeдицинcкoй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пoмoщи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oгpaничeннoму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кoнтингeнту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пaциeнтoв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ocoбo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тяжeлoй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пaтoлoгии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иcпoльзуeтcя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pacшиpeния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пpoтoкoв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oпухoлeвых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измeнeниях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пocлeoпepaциoнных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cужeний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чиcлe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удaлeния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oтлoжeний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вpeмя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пpoвeдeния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oпepaций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пoвышeннoй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cлoжнocти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изгoтaвливaютcя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cиликoнoвoй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cмecи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coдepжaть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пoливинилхлopид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уcл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60;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Нaпpяжeниe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50%,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 2,0(20);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пpoчнocти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/cм²)7,0(70); </w:t>
            </w: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тнocитeльнoe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250 - 500  </w:t>
            </w:r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Coпpoтивлeниe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paздиpу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Н/м (кг/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15 - 25,Тpубки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имeют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Т-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oбpaзную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кoнфигуpaцию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глaдкую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внутpeннюю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oбecпeчивaeмую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фopмooбpaзующим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инcтpумeнтoм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шepoхoвaтocтью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пoвepхнocти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0,8 мкм.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вepхнocть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тpубoк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бeз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пocтopoнних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включeний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вмятин,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тpeщин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38A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1BE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C1F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0A6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1 916 000</w:t>
            </w:r>
          </w:p>
        </w:tc>
      </w:tr>
      <w:tr w:rsidR="00FA54DC" w:rsidRPr="00FA54DC" w14:paraId="52E4CBA0" w14:textId="77777777" w:rsidTr="00FA54DC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23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21D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cиликoнoвый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ocтaнoвки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кpoвoтeчeния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вeн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пищeвoдa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963B" w14:textId="77777777" w:rsidR="00FA54DC" w:rsidRPr="00FA54DC" w:rsidRDefault="00FA54DC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изгoтaвливaютcя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cиликoнoвoй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peзинoвoй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cмecи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Coc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дoлжнo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coдepжaть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пoливинилхлopид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дocть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Шop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уcл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70;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Нaпpяжeниe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50%,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мeнee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 2,0(20);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пpoчнocти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кгc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/cм²)8(80);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Oтнocитeльнoe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удлинeниe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paзpывe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250 - 500 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Coпpoтивлeниe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paздиpу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Н/м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пpeдeлaх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(кг/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15 - 25,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Зoнд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выпoлнeн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глaдкoй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тpeхкaнaльнoй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тpубки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имeющeй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oднoгo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кoнцa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нaкoнeчник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фикcиpoвaнo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paздувaющихcя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бaллoнa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a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дpугoгo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кoнцa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узeл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paзвeдeния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кaнaлoв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зoндoв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кpaны-фикcaтopы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мeтaлличecкий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cepдeчник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плacтмaccoвoй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oбoлoчкoй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oблeгчaющий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зaвeдeниe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зoндa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имeющий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гибкий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мeтaлличecкий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пpужинный</w:t>
            </w:r>
            <w:proofErr w:type="spellEnd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aкoнeчник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кoнтeйнep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acпиpaциoннaя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cиcтeмa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нтpoля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эффeктивнocти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гeмocтaзa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мeдицинcкoгo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нaзнaчeния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пoдвepгaютcя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хoлoднoй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5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cтepилизaции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B27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93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8D8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32 950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CD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4 942 500</w:t>
            </w:r>
          </w:p>
        </w:tc>
      </w:tr>
    </w:tbl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633153B3" w:rsidR="00FF19D7" w:rsidRPr="00FA77C8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515958">
        <w:rPr>
          <w:rFonts w:ascii="Times New Roman" w:eastAsia="Times New Roman" w:hAnsi="Times New Roman" w:cs="Times New Roman"/>
          <w:sz w:val="24"/>
          <w:szCs w:val="24"/>
          <w:lang w:eastAsia="x-none"/>
        </w:rPr>
        <w:t>до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FA77C8" w:rsidRPr="00FA77C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марта</w:t>
      </w:r>
      <w:r w:rsidR="006419B2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закупа</w:t>
      </w:r>
      <w:r w:rsidR="00FA77C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:</w:t>
      </w:r>
    </w:p>
    <w:p w14:paraId="7C14EB54" w14:textId="65BDD544" w:rsidR="000306E6" w:rsidRPr="001D2D1B" w:rsidRDefault="00FF19D7" w:rsidP="000B59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</w:t>
      </w:r>
      <w:r w:rsidR="00B60E54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1D2D1B" w:rsidRPr="00FB0A1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1D2D1B" w:rsidRPr="00FB0A15">
        <w:rPr>
          <w:rFonts w:ascii="Times New Roman" w:hAnsi="Times New Roman" w:cs="Times New Roman"/>
          <w:b/>
          <w:sz w:val="24"/>
          <w:szCs w:val="24"/>
        </w:rPr>
        <w:t>Best</w:t>
      </w:r>
      <w:proofErr w:type="spellEnd"/>
      <w:r w:rsidR="001D2D1B" w:rsidRPr="00FB0A15">
        <w:rPr>
          <w:rFonts w:ascii="Times New Roman" w:hAnsi="Times New Roman" w:cs="Times New Roman"/>
          <w:b/>
          <w:sz w:val="24"/>
          <w:szCs w:val="24"/>
        </w:rPr>
        <w:t xml:space="preserve"> EQUIP»</w:t>
      </w:r>
      <w:r w:rsidR="001D2D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2D1B" w:rsidRPr="00FB0A15">
        <w:rPr>
          <w:rFonts w:ascii="Times New Roman" w:hAnsi="Times New Roman" w:cs="Times New Roman"/>
          <w:sz w:val="24"/>
          <w:szCs w:val="24"/>
        </w:rPr>
        <w:t>г. Алматы. ул. Желтоксан,111а, оф.6</w:t>
      </w:r>
      <w:r w:rsidR="001D2D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0B599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</w:t>
      </w:r>
      <w:proofErr w:type="spellStart"/>
      <w:r w:rsidR="00515958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="00515958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 w:rsidR="000B599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B5998"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16</w:t>
      </w:r>
      <w:r w:rsidR="000B599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0B5998"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675</w:t>
      </w:r>
      <w:r w:rsidR="000B599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0B5998"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860</w:t>
      </w:r>
      <w:r w:rsidR="00275E26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 w:rsidR="00275E2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0B5998"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шестнадцать миллионов шестьсот семьдесят пять тысяч восемьсот шестьдесят</w:t>
      </w:r>
      <w:r w:rsid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463DC443" w14:textId="4F237208" w:rsidR="000B5998" w:rsidRDefault="000B5998" w:rsidP="000B59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Pr="00FB0A15">
        <w:rPr>
          <w:rFonts w:ascii="Times New Roman" w:hAnsi="Times New Roman" w:cs="Times New Roman"/>
          <w:b/>
          <w:sz w:val="24"/>
          <w:szCs w:val="24"/>
        </w:rPr>
        <w:t>ТОО «DANA ESTRELLA»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B0A15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FB0A15">
        <w:rPr>
          <w:rFonts w:ascii="Times New Roman" w:hAnsi="Times New Roman" w:cs="Times New Roman"/>
          <w:sz w:val="24"/>
          <w:szCs w:val="24"/>
        </w:rPr>
        <w:t>, ул. Гоголя 89А, оф. 101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</w:t>
      </w:r>
      <w:proofErr w:type="spellStart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400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восемнадцать миллионов четыреста тысяч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556C6300" w14:textId="3786F104" w:rsidR="000B5998" w:rsidRPr="000B5998" w:rsidRDefault="000B5998" w:rsidP="000B59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Pr="00FB0A15">
        <w:rPr>
          <w:rFonts w:ascii="Times New Roman" w:hAnsi="Times New Roman" w:cs="Times New Roman"/>
          <w:b/>
          <w:sz w:val="24"/>
          <w:szCs w:val="24"/>
        </w:rPr>
        <w:t>ТОО «А-37»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0A15">
        <w:rPr>
          <w:rFonts w:ascii="Times New Roman" w:hAnsi="Times New Roman" w:cs="Times New Roman"/>
          <w:sz w:val="24"/>
          <w:szCs w:val="24"/>
        </w:rPr>
        <w:t>г. Алматы, ул. Тимирязева, 42, корпус 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</w:t>
      </w:r>
      <w:proofErr w:type="spellStart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280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 миллион двести восемьдесят тысяч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4E523657" w14:textId="2514B9CC" w:rsidR="000B5998" w:rsidRPr="000B5998" w:rsidRDefault="000B5998" w:rsidP="000B59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Pr="00FB0A1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FB0A15">
        <w:rPr>
          <w:rFonts w:ascii="Times New Roman" w:hAnsi="Times New Roman" w:cs="Times New Roman"/>
          <w:b/>
          <w:sz w:val="24"/>
          <w:szCs w:val="24"/>
        </w:rPr>
        <w:t>Аpex</w:t>
      </w:r>
      <w:proofErr w:type="spellEnd"/>
      <w:r w:rsidRPr="00FB0A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A15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Pr="00FB0A1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0A15">
        <w:rPr>
          <w:rFonts w:ascii="Times New Roman" w:hAnsi="Times New Roman" w:cs="Times New Roman"/>
          <w:sz w:val="24"/>
          <w:szCs w:val="24"/>
        </w:rPr>
        <w:t xml:space="preserve">г. Алматы, ул. Е. </w:t>
      </w:r>
      <w:proofErr w:type="spellStart"/>
      <w:r w:rsidRPr="00FB0A15">
        <w:rPr>
          <w:rFonts w:ascii="Times New Roman" w:hAnsi="Times New Roman" w:cs="Times New Roman"/>
          <w:sz w:val="24"/>
          <w:szCs w:val="24"/>
        </w:rPr>
        <w:t>Рахмадиева</w:t>
      </w:r>
      <w:proofErr w:type="spellEnd"/>
      <w:r w:rsidRPr="00FB0A15">
        <w:rPr>
          <w:rFonts w:ascii="Times New Roman" w:hAnsi="Times New Roman" w:cs="Times New Roman"/>
          <w:sz w:val="24"/>
          <w:szCs w:val="24"/>
        </w:rPr>
        <w:t>, 35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</w:t>
      </w:r>
      <w:proofErr w:type="spellStart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607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694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двадцать один миллион шестьсот семь тысяч шестьсот девяносто четыре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48D21F5B" w14:textId="04055609" w:rsidR="000B5998" w:rsidRPr="000B5998" w:rsidRDefault="000B5998" w:rsidP="000B59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Pr="00FB0A15">
        <w:rPr>
          <w:rFonts w:ascii="Times New Roman" w:hAnsi="Times New Roman" w:cs="Times New Roman"/>
          <w:b/>
          <w:sz w:val="24"/>
          <w:szCs w:val="24"/>
        </w:rPr>
        <w:t xml:space="preserve">ТОО «Неман </w:t>
      </w:r>
      <w:proofErr w:type="spellStart"/>
      <w:r w:rsidRPr="00FB0A15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r w:rsidRPr="00FB0A1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0A15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Pr="00FB0A15">
        <w:rPr>
          <w:rFonts w:ascii="Times New Roman" w:hAnsi="Times New Roman" w:cs="Times New Roman"/>
          <w:sz w:val="24"/>
          <w:szCs w:val="24"/>
        </w:rPr>
        <w:t>Розыбакиева</w:t>
      </w:r>
      <w:proofErr w:type="spellEnd"/>
      <w:r w:rsidRPr="00FB0A15">
        <w:rPr>
          <w:rFonts w:ascii="Times New Roman" w:hAnsi="Times New Roman" w:cs="Times New Roman"/>
          <w:sz w:val="24"/>
          <w:szCs w:val="24"/>
        </w:rPr>
        <w:t xml:space="preserve"> 247 кв. 157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</w:t>
      </w:r>
      <w:proofErr w:type="spellStart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750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0B5998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девять миллионов семьсот пятьдесят тысяч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53D6CC69" w14:textId="0BB12C37" w:rsidR="000B5998" w:rsidRPr="000B5998" w:rsidRDefault="000B5998" w:rsidP="000B59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Pr="00FB0A1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B0A15">
        <w:rPr>
          <w:rFonts w:ascii="Times New Roman" w:hAnsi="Times New Roman" w:cs="Times New Roman"/>
          <w:b/>
          <w:sz w:val="24"/>
          <w:szCs w:val="24"/>
        </w:rPr>
        <w:t>Оленкович</w:t>
      </w:r>
      <w:proofErr w:type="spellEnd"/>
      <w:r w:rsidRPr="00FB0A15">
        <w:rPr>
          <w:rFonts w:ascii="Times New Roman" w:hAnsi="Times New Roman" w:cs="Times New Roman"/>
          <w:b/>
          <w:sz w:val="24"/>
          <w:szCs w:val="24"/>
        </w:rPr>
        <w:t xml:space="preserve"> В.Е.»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0A15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Pr="00FB0A15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Pr="00FB0A15">
        <w:rPr>
          <w:rFonts w:ascii="Times New Roman" w:hAnsi="Times New Roman" w:cs="Times New Roman"/>
          <w:sz w:val="24"/>
          <w:szCs w:val="24"/>
        </w:rPr>
        <w:t xml:space="preserve"> 31.2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</w:t>
      </w:r>
      <w:proofErr w:type="spellStart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A54DC" w:rsidRPr="00FA54DC">
        <w:rPr>
          <w:rFonts w:ascii="Times New Roman" w:eastAsia="Times New Roman" w:hAnsi="Times New Roman" w:cs="Times New Roman"/>
          <w:sz w:val="24"/>
          <w:szCs w:val="24"/>
          <w:lang w:eastAsia="x-none"/>
        </w:rPr>
        <w:t>15</w:t>
      </w:r>
      <w:r w:rsidR="00FA54D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FA54DC" w:rsidRPr="00FA54DC">
        <w:rPr>
          <w:rFonts w:ascii="Times New Roman" w:eastAsia="Times New Roman" w:hAnsi="Times New Roman" w:cs="Times New Roman"/>
          <w:sz w:val="24"/>
          <w:szCs w:val="24"/>
          <w:lang w:eastAsia="x-none"/>
        </w:rPr>
        <w:t>857</w:t>
      </w:r>
      <w:r w:rsidR="00FA54D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FA54DC" w:rsidRPr="00FA54DC">
        <w:rPr>
          <w:rFonts w:ascii="Times New Roman" w:eastAsia="Times New Roman" w:hAnsi="Times New Roman" w:cs="Times New Roman"/>
          <w:sz w:val="24"/>
          <w:szCs w:val="24"/>
          <w:lang w:eastAsia="x-none"/>
        </w:rPr>
        <w:t>500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0266A1" w:rsidRPr="000266A1">
        <w:rPr>
          <w:rFonts w:ascii="Times New Roman" w:eastAsia="Times New Roman" w:hAnsi="Times New Roman" w:cs="Times New Roman"/>
          <w:sz w:val="24"/>
          <w:szCs w:val="24"/>
          <w:lang w:eastAsia="x-none"/>
        </w:rPr>
        <w:t>пятнадцать миллионов восемьсот пятьдесят семь тысяч пятьсот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74892D01" w14:textId="77777777" w:rsidR="00FF045E" w:rsidRPr="000B5998" w:rsidRDefault="00FF045E" w:rsidP="00554022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4D90839C" w:rsidR="00225F4D" w:rsidRPr="00A4258C" w:rsidRDefault="00FF19D7" w:rsidP="00FF0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0B5998" w:rsidRDefault="00225F4D" w:rsidP="000B5998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225F4D" w:rsidRPr="000B5998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0747A" w14:textId="77777777" w:rsidR="000266A1" w:rsidRDefault="000266A1" w:rsidP="0061359F">
      <w:pPr>
        <w:spacing w:after="0" w:line="240" w:lineRule="auto"/>
      </w:pPr>
      <w:r>
        <w:separator/>
      </w:r>
    </w:p>
  </w:endnote>
  <w:endnote w:type="continuationSeparator" w:id="0">
    <w:p w14:paraId="76243E2B" w14:textId="77777777" w:rsidR="000266A1" w:rsidRDefault="000266A1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0266A1" w:rsidRDefault="000266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EF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0266A1" w:rsidRDefault="000266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BF029" w14:textId="77777777" w:rsidR="000266A1" w:rsidRDefault="000266A1" w:rsidP="0061359F">
      <w:pPr>
        <w:spacing w:after="0" w:line="240" w:lineRule="auto"/>
      </w:pPr>
      <w:r>
        <w:separator/>
      </w:r>
    </w:p>
  </w:footnote>
  <w:footnote w:type="continuationSeparator" w:id="0">
    <w:p w14:paraId="02577AAE" w14:textId="77777777" w:rsidR="000266A1" w:rsidRDefault="000266A1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266A1"/>
    <w:rsid w:val="000306E6"/>
    <w:rsid w:val="000370C3"/>
    <w:rsid w:val="00052BE0"/>
    <w:rsid w:val="00062BB1"/>
    <w:rsid w:val="000A1C34"/>
    <w:rsid w:val="000B5998"/>
    <w:rsid w:val="000D50EF"/>
    <w:rsid w:val="000E7D49"/>
    <w:rsid w:val="000F10D8"/>
    <w:rsid w:val="00120A12"/>
    <w:rsid w:val="001C6343"/>
    <w:rsid w:val="001D2D1B"/>
    <w:rsid w:val="001E7BCE"/>
    <w:rsid w:val="001F0ED2"/>
    <w:rsid w:val="002152D3"/>
    <w:rsid w:val="00225F4D"/>
    <w:rsid w:val="00237218"/>
    <w:rsid w:val="002440FA"/>
    <w:rsid w:val="00264858"/>
    <w:rsid w:val="00275E26"/>
    <w:rsid w:val="002E264D"/>
    <w:rsid w:val="00303966"/>
    <w:rsid w:val="00317E24"/>
    <w:rsid w:val="003256EA"/>
    <w:rsid w:val="00391559"/>
    <w:rsid w:val="003B7A86"/>
    <w:rsid w:val="003C3F68"/>
    <w:rsid w:val="003C7BBD"/>
    <w:rsid w:val="0041568E"/>
    <w:rsid w:val="00432AAF"/>
    <w:rsid w:val="0045768B"/>
    <w:rsid w:val="004A03B8"/>
    <w:rsid w:val="004D430D"/>
    <w:rsid w:val="004E52A0"/>
    <w:rsid w:val="00515958"/>
    <w:rsid w:val="00532374"/>
    <w:rsid w:val="00545568"/>
    <w:rsid w:val="00554022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5E6A58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B005C"/>
    <w:rsid w:val="007F6DE8"/>
    <w:rsid w:val="00800AF6"/>
    <w:rsid w:val="008017AF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9D36D4"/>
    <w:rsid w:val="009F0925"/>
    <w:rsid w:val="00A022A2"/>
    <w:rsid w:val="00A12A78"/>
    <w:rsid w:val="00A151F2"/>
    <w:rsid w:val="00A340BC"/>
    <w:rsid w:val="00A4258C"/>
    <w:rsid w:val="00A5398C"/>
    <w:rsid w:val="00A5562F"/>
    <w:rsid w:val="00A63861"/>
    <w:rsid w:val="00A92A95"/>
    <w:rsid w:val="00AE520F"/>
    <w:rsid w:val="00B32ED5"/>
    <w:rsid w:val="00B60E54"/>
    <w:rsid w:val="00B6181B"/>
    <w:rsid w:val="00B645DE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A54DC"/>
    <w:rsid w:val="00FA77C8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5</cp:revision>
  <cp:lastPrinted>2021-02-23T16:07:00Z</cp:lastPrinted>
  <dcterms:created xsi:type="dcterms:W3CDTF">2021-03-29T18:15:00Z</dcterms:created>
  <dcterms:modified xsi:type="dcterms:W3CDTF">2021-04-02T19:39:00Z</dcterms:modified>
</cp:coreProperties>
</file>