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1C1" w:rsidRPr="00AE0FE4" w:rsidRDefault="004A61C1" w:rsidP="004A61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AE0FE4">
        <w:rPr>
          <w:rFonts w:ascii="Times New Roman" w:eastAsia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09CF70" wp14:editId="6A67E33C">
            <wp:simplePos x="0" y="0"/>
            <wp:positionH relativeFrom="column">
              <wp:posOffset>773</wp:posOffset>
            </wp:positionH>
            <wp:positionV relativeFrom="paragraph">
              <wp:posOffset>3976</wp:posOffset>
            </wp:positionV>
            <wp:extent cx="2027583" cy="1400172"/>
            <wp:effectExtent l="0" t="0" r="0" b="0"/>
            <wp:wrapNone/>
            <wp:docPr id="2" name="Рисунок 2" descr="D:\ГКБ№4\Дизайны\Логотип ГКБ№4 г.Алматы_WB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КБ№4\Дизайны\Логотип ГКБ№4 г.Алматы_WB2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83" cy="140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Утверждаю </w:t>
      </w:r>
    </w:p>
    <w:p w:rsidR="004A61C1" w:rsidRDefault="004A61C1" w:rsidP="004A61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Г</w:t>
      </w:r>
      <w:r w:rsidRPr="00AE0FE4">
        <w:rPr>
          <w:rFonts w:ascii="Times New Roman" w:hAnsi="Times New Roman"/>
          <w:b/>
          <w:sz w:val="24"/>
          <w:szCs w:val="24"/>
          <w:lang w:val="kk-KZ"/>
        </w:rPr>
        <w:t>лавн</w:t>
      </w:r>
      <w:r>
        <w:rPr>
          <w:rFonts w:ascii="Times New Roman" w:hAnsi="Times New Roman"/>
          <w:b/>
          <w:sz w:val="24"/>
          <w:szCs w:val="24"/>
          <w:lang w:val="kk-KZ"/>
        </w:rPr>
        <w:t>ый</w:t>
      </w: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 врач </w:t>
      </w:r>
    </w:p>
    <w:p w:rsidR="004A61C1" w:rsidRDefault="004A61C1" w:rsidP="004A61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КГП на </w:t>
      </w:r>
      <w:r w:rsidRPr="00AE0FE4">
        <w:rPr>
          <w:rFonts w:ascii="Times New Roman" w:hAnsi="Times New Roman"/>
          <w:b/>
          <w:sz w:val="24"/>
          <w:szCs w:val="24"/>
        </w:rPr>
        <w:t xml:space="preserve">ПХВ «Городская клиническая больница №4» </w:t>
      </w:r>
    </w:p>
    <w:p w:rsidR="004A61C1" w:rsidRDefault="004A61C1" w:rsidP="004A61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 xml:space="preserve">УОЗ города Алматы </w:t>
      </w:r>
    </w:p>
    <w:p w:rsidR="004A61C1" w:rsidRDefault="004A61C1" w:rsidP="004A61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A61C1" w:rsidRPr="00AE0FE4" w:rsidRDefault="004A61C1" w:rsidP="004A61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>_________________</w:t>
      </w:r>
      <w:r w:rsidRPr="0006628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Б.С. Досмаилов</w:t>
      </w:r>
      <w:r w:rsidRPr="00AE0FE4">
        <w:rPr>
          <w:rFonts w:ascii="Times New Roman" w:hAnsi="Times New Roman"/>
          <w:b/>
          <w:sz w:val="24"/>
          <w:szCs w:val="24"/>
        </w:rPr>
        <w:t xml:space="preserve"> </w:t>
      </w:r>
    </w:p>
    <w:p w:rsidR="004A61C1" w:rsidRPr="00AE0FE4" w:rsidRDefault="004A61C1" w:rsidP="004A61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A61C1" w:rsidRPr="00AE0FE4" w:rsidRDefault="004A61C1" w:rsidP="004A6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61C1" w:rsidRPr="00AE0FE4" w:rsidRDefault="004A61C1" w:rsidP="004A6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61C1" w:rsidRPr="00D816DC" w:rsidRDefault="004A61C1" w:rsidP="004A61C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4A61C1" w:rsidRDefault="004A61C1" w:rsidP="004A61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61C1" w:rsidRPr="005111C0" w:rsidRDefault="004A61C1" w:rsidP="004A61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049E8">
        <w:rPr>
          <w:rFonts w:ascii="Times New Roman" w:hAnsi="Times New Roman"/>
          <w:b/>
          <w:sz w:val="28"/>
          <w:szCs w:val="28"/>
        </w:rPr>
        <w:t>Объявление</w:t>
      </w:r>
      <w:r w:rsidRPr="006049E8">
        <w:rPr>
          <w:rFonts w:ascii="Times New Roman" w:hAnsi="Times New Roman"/>
          <w:b/>
          <w:sz w:val="28"/>
          <w:szCs w:val="28"/>
        </w:rPr>
        <w:br/>
        <w:t xml:space="preserve"> о проведении закупа способом запроса ценовых предложений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  <w:lang w:val="kk-KZ"/>
        </w:rPr>
        <w:t>7</w:t>
      </w:r>
    </w:p>
    <w:p w:rsidR="004A61C1" w:rsidRPr="006049E8" w:rsidRDefault="004A61C1" w:rsidP="004A61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4A61C1" w:rsidRPr="008D4B4D" w:rsidRDefault="004A61C1" w:rsidP="004A61C1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D4B4D">
        <w:rPr>
          <w:rFonts w:ascii="Times New Roman" w:hAnsi="Times New Roman"/>
          <w:b/>
          <w:sz w:val="24"/>
          <w:szCs w:val="24"/>
        </w:rPr>
        <w:t xml:space="preserve">   г. Алматы                                                                                            </w:t>
      </w:r>
      <w:r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Pr="008D4B4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F619E">
        <w:rPr>
          <w:rFonts w:ascii="Times New Roman" w:hAnsi="Times New Roman"/>
          <w:b/>
          <w:sz w:val="24"/>
          <w:szCs w:val="24"/>
          <w:lang w:val="kk-KZ"/>
        </w:rPr>
        <w:t>«</w:t>
      </w:r>
      <w:r w:rsidR="003F619E" w:rsidRPr="003F619E">
        <w:rPr>
          <w:rFonts w:ascii="Times New Roman" w:hAnsi="Times New Roman"/>
          <w:b/>
          <w:sz w:val="24"/>
          <w:szCs w:val="24"/>
        </w:rPr>
        <w:t>20</w:t>
      </w:r>
      <w:r w:rsidRPr="003F619E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3F619E">
        <w:rPr>
          <w:rFonts w:ascii="Times New Roman" w:hAnsi="Times New Roman"/>
          <w:b/>
          <w:sz w:val="24"/>
          <w:szCs w:val="24"/>
        </w:rPr>
        <w:t>окт</w:t>
      </w:r>
      <w:proofErr w:type="spellEnd"/>
      <w:r w:rsidRPr="003F619E">
        <w:rPr>
          <w:rFonts w:ascii="Times New Roman" w:hAnsi="Times New Roman"/>
          <w:b/>
          <w:sz w:val="24"/>
          <w:szCs w:val="24"/>
          <w:lang w:val="kk-KZ"/>
        </w:rPr>
        <w:t>ября</w:t>
      </w:r>
      <w:r w:rsidRPr="003F619E">
        <w:rPr>
          <w:rFonts w:ascii="Times New Roman" w:hAnsi="Times New Roman"/>
          <w:b/>
          <w:sz w:val="24"/>
          <w:szCs w:val="24"/>
        </w:rPr>
        <w:t xml:space="preserve"> 202</w:t>
      </w:r>
      <w:r w:rsidRPr="003F619E">
        <w:rPr>
          <w:rFonts w:ascii="Times New Roman" w:hAnsi="Times New Roman"/>
          <w:b/>
          <w:sz w:val="24"/>
          <w:szCs w:val="24"/>
          <w:lang w:val="kk-KZ"/>
        </w:rPr>
        <w:t>2</w:t>
      </w:r>
      <w:r w:rsidRPr="003F619E">
        <w:rPr>
          <w:rFonts w:ascii="Times New Roman" w:hAnsi="Times New Roman"/>
          <w:b/>
          <w:sz w:val="24"/>
          <w:szCs w:val="24"/>
        </w:rPr>
        <w:t xml:space="preserve"> г.</w:t>
      </w:r>
    </w:p>
    <w:p w:rsidR="004A61C1" w:rsidRPr="00481ACF" w:rsidRDefault="004A61C1" w:rsidP="004A61C1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КГП</w:t>
      </w:r>
      <w:r>
        <w:rPr>
          <w:rFonts w:ascii="Times New Roman" w:hAnsi="Times New Roman"/>
          <w:sz w:val="24"/>
          <w:szCs w:val="24"/>
          <w:lang w:val="kk-KZ"/>
        </w:rPr>
        <w:t xml:space="preserve"> на ПХВ </w:t>
      </w:r>
      <w:r w:rsidRPr="00215604">
        <w:rPr>
          <w:rFonts w:ascii="Times New Roman" w:hAnsi="Times New Roman"/>
          <w:sz w:val="24"/>
          <w:szCs w:val="24"/>
        </w:rPr>
        <w:t>«Гор</w:t>
      </w:r>
      <w:r>
        <w:rPr>
          <w:rFonts w:ascii="Times New Roman" w:hAnsi="Times New Roman"/>
          <w:sz w:val="24"/>
          <w:szCs w:val="24"/>
        </w:rPr>
        <w:t>одская клиническая больница №4»</w:t>
      </w:r>
      <w:r>
        <w:rPr>
          <w:rFonts w:ascii="Times New Roman" w:hAnsi="Times New Roman"/>
          <w:sz w:val="24"/>
          <w:szCs w:val="24"/>
          <w:lang w:val="kk-KZ"/>
        </w:rPr>
        <w:t xml:space="preserve"> УОЗ г.Алматы,</w:t>
      </w:r>
      <w:r w:rsidRPr="0021560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расположенн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ое</w:t>
      </w:r>
      <w:r>
        <w:rPr>
          <w:rFonts w:ascii="Times New Roman" w:hAnsi="Times New Roman"/>
          <w:sz w:val="24"/>
          <w:szCs w:val="24"/>
        </w:rPr>
        <w:t xml:space="preserve"> по адресу город Алматы, </w:t>
      </w:r>
      <w:proofErr w:type="spellStart"/>
      <w:r>
        <w:rPr>
          <w:rFonts w:ascii="Times New Roman" w:hAnsi="Times New Roman"/>
          <w:sz w:val="24"/>
          <w:szCs w:val="24"/>
        </w:rPr>
        <w:t>Турксибский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улица Папанина, 220 </w:t>
      </w:r>
      <w:r w:rsidRPr="00215604">
        <w:rPr>
          <w:rFonts w:ascii="Times New Roman" w:hAnsi="Times New Roman"/>
          <w:sz w:val="24"/>
          <w:szCs w:val="24"/>
        </w:rPr>
        <w:t>объявляет о проведени</w:t>
      </w:r>
      <w:r>
        <w:rPr>
          <w:rFonts w:ascii="Times New Roman" w:hAnsi="Times New Roman"/>
          <w:sz w:val="24"/>
          <w:szCs w:val="24"/>
        </w:rPr>
        <w:t>и</w:t>
      </w:r>
      <w:r w:rsidRPr="00215604">
        <w:rPr>
          <w:rFonts w:ascii="Times New Roman" w:hAnsi="Times New Roman"/>
          <w:sz w:val="24"/>
          <w:szCs w:val="24"/>
        </w:rPr>
        <w:t xml:space="preserve"> закупа лекарственных средств и медицинских изделий способом запроса ценовых предложений </w:t>
      </w:r>
      <w:bookmarkStart w:id="0" w:name="_Hlk116069121"/>
      <w:r w:rsidRPr="00215604">
        <w:rPr>
          <w:rFonts w:ascii="Times New Roman" w:hAnsi="Times New Roman"/>
          <w:sz w:val="24"/>
          <w:szCs w:val="24"/>
        </w:rPr>
        <w:t>в соответствии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215604">
        <w:rPr>
          <w:rFonts w:ascii="Times New Roman" w:hAnsi="Times New Roman"/>
          <w:sz w:val="24"/>
          <w:szCs w:val="24"/>
        </w:rPr>
        <w:t xml:space="preserve"> Глав</w:t>
      </w:r>
      <w:r>
        <w:rPr>
          <w:rFonts w:ascii="Times New Roman" w:hAnsi="Times New Roman"/>
          <w:sz w:val="24"/>
          <w:szCs w:val="24"/>
        </w:rPr>
        <w:t>ой</w:t>
      </w:r>
      <w:r w:rsidRPr="002156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Pr="002156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215604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215604">
        <w:rPr>
          <w:rFonts w:ascii="Times New Roman" w:hAnsi="Times New Roman"/>
          <w:sz w:val="24"/>
          <w:szCs w:val="24"/>
        </w:rPr>
        <w:t xml:space="preserve"> Правительства Республики Казахстан от 04 </w:t>
      </w:r>
      <w:r w:rsidRPr="00215604">
        <w:rPr>
          <w:rFonts w:ascii="Times New Roman" w:hAnsi="Times New Roman"/>
          <w:sz w:val="24"/>
          <w:szCs w:val="24"/>
          <w:lang w:val="kk-KZ"/>
        </w:rPr>
        <w:t>июня</w:t>
      </w:r>
      <w:r w:rsidRPr="00215604">
        <w:rPr>
          <w:rFonts w:ascii="Times New Roman" w:hAnsi="Times New Roman"/>
          <w:sz w:val="24"/>
          <w:szCs w:val="24"/>
        </w:rPr>
        <w:t xml:space="preserve"> 20</w:t>
      </w:r>
      <w:r w:rsidRPr="00215604">
        <w:rPr>
          <w:rFonts w:ascii="Times New Roman" w:hAnsi="Times New Roman"/>
          <w:sz w:val="24"/>
          <w:szCs w:val="24"/>
          <w:lang w:val="kk-KZ"/>
        </w:rPr>
        <w:t>21</w:t>
      </w:r>
      <w:r w:rsidRPr="00215604">
        <w:rPr>
          <w:rFonts w:ascii="Times New Roman" w:hAnsi="Times New Roman"/>
          <w:sz w:val="24"/>
          <w:szCs w:val="24"/>
        </w:rPr>
        <w:t xml:space="preserve"> года №</w:t>
      </w:r>
      <w:r w:rsidRPr="00215604">
        <w:rPr>
          <w:rFonts w:ascii="Times New Roman" w:hAnsi="Times New Roman"/>
          <w:sz w:val="24"/>
          <w:szCs w:val="24"/>
          <w:lang w:val="kk-KZ"/>
        </w:rPr>
        <w:t>375</w:t>
      </w:r>
      <w:r w:rsidRPr="00215604">
        <w:rPr>
          <w:rFonts w:ascii="Times New Roman" w:hAnsi="Times New Roman"/>
          <w:sz w:val="24"/>
          <w:szCs w:val="24"/>
        </w:rPr>
        <w:t xml:space="preserve"> </w:t>
      </w:r>
      <w:r w:rsidRPr="00215604">
        <w:rPr>
          <w:rFonts w:ascii="Times New Roman" w:hAnsi="Times New Roman"/>
          <w:color w:val="000000" w:themeColor="text1"/>
          <w:sz w:val="24"/>
          <w:szCs w:val="24"/>
        </w:rPr>
        <w:t xml:space="preserve">«Об утверждении Правил организации и проведения закупа лекарственных средств, </w:t>
      </w:r>
      <w:r w:rsidRPr="00481ACF">
        <w:rPr>
          <w:rFonts w:ascii="Times New Roman" w:hAnsi="Times New Roman"/>
          <w:color w:val="000000" w:themeColor="text1"/>
          <w:sz w:val="24"/>
          <w:szCs w:val="24"/>
        </w:rPr>
        <w:t>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Pr="00481AC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481ACF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481ACF">
        <w:rPr>
          <w:rFonts w:ascii="Times New Roman" w:hAnsi="Times New Roman"/>
          <w:sz w:val="24"/>
          <w:szCs w:val="24"/>
        </w:rPr>
        <w:t xml:space="preserve">далее – Правила), а также Постановлением Правительства Республики Казахстан от 8 сентября 2022 года № 667 «О приостановлении действия глав 7, 8 раздела 2 и глав 10, 11, 13 и 14 раздела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 375, и внесении в них изменений и дополнений» </w:t>
      </w:r>
      <w:bookmarkEnd w:id="0"/>
      <w:r w:rsidRPr="00481ACF">
        <w:rPr>
          <w:rFonts w:ascii="Times New Roman" w:hAnsi="Times New Roman"/>
          <w:sz w:val="24"/>
          <w:szCs w:val="24"/>
        </w:rPr>
        <w:t xml:space="preserve">на сумму: </w:t>
      </w:r>
      <w:r w:rsidR="003F619E" w:rsidRPr="003F619E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5 183 100</w:t>
      </w:r>
      <w:r w:rsidRPr="003F619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3F619E" w:rsidRPr="003F619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00</w:t>
      </w:r>
      <w:r w:rsidRPr="003F619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3F619E">
        <w:rPr>
          <w:rFonts w:ascii="Times New Roman" w:hAnsi="Times New Roman"/>
          <w:sz w:val="24"/>
          <w:szCs w:val="24"/>
        </w:rPr>
        <w:t>(</w:t>
      </w:r>
      <w:r w:rsidR="003F619E" w:rsidRPr="003F619E">
        <w:rPr>
          <w:rFonts w:ascii="Times New Roman" w:hAnsi="Times New Roman"/>
          <w:sz w:val="24"/>
          <w:szCs w:val="24"/>
        </w:rPr>
        <w:t>Пять миллионов сто восемьдесят три тысячи сто</w:t>
      </w:r>
      <w:r w:rsidR="003F619E">
        <w:rPr>
          <w:rFonts w:ascii="Times New Roman" w:hAnsi="Times New Roman"/>
          <w:sz w:val="24"/>
          <w:szCs w:val="24"/>
        </w:rPr>
        <w:t>) тенге</w:t>
      </w:r>
      <w:r w:rsidRPr="003F619E">
        <w:rPr>
          <w:rFonts w:ascii="Times New Roman" w:hAnsi="Times New Roman"/>
          <w:sz w:val="24"/>
          <w:szCs w:val="24"/>
        </w:rPr>
        <w:t xml:space="preserve"> </w:t>
      </w:r>
      <w:r w:rsidR="003F619E" w:rsidRPr="003F619E">
        <w:rPr>
          <w:rFonts w:ascii="Times New Roman" w:hAnsi="Times New Roman"/>
          <w:sz w:val="24"/>
          <w:szCs w:val="24"/>
          <w:lang w:val="kk-KZ"/>
        </w:rPr>
        <w:t>00</w:t>
      </w:r>
      <w:r w:rsidRPr="003F619E">
        <w:rPr>
          <w:rFonts w:ascii="Times New Roman" w:hAnsi="Times New Roman"/>
          <w:sz w:val="24"/>
          <w:szCs w:val="24"/>
        </w:rPr>
        <w:t xml:space="preserve"> тиын.</w:t>
      </w:r>
    </w:p>
    <w:p w:rsidR="004A61C1" w:rsidRDefault="004A61C1" w:rsidP="004A61C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A61C1" w:rsidRDefault="004A61C1" w:rsidP="004A61C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A61C1" w:rsidRDefault="004A61C1" w:rsidP="004A61C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A61C1" w:rsidRDefault="004A61C1" w:rsidP="004A61C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A61C1" w:rsidRDefault="004A61C1" w:rsidP="004A61C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A61C1" w:rsidRDefault="004A61C1" w:rsidP="004A61C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D4B4D">
        <w:rPr>
          <w:rFonts w:ascii="Times New Roman" w:hAnsi="Times New Roman"/>
          <w:b/>
          <w:sz w:val="24"/>
          <w:szCs w:val="24"/>
        </w:rPr>
        <w:t>Перечень закупаемых товаров:</w:t>
      </w:r>
    </w:p>
    <w:p w:rsidR="004A61C1" w:rsidRDefault="004A61C1" w:rsidP="004A61C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2379"/>
        <w:gridCol w:w="7807"/>
        <w:gridCol w:w="1080"/>
        <w:gridCol w:w="1179"/>
        <w:gridCol w:w="1143"/>
        <w:gridCol w:w="1276"/>
      </w:tblGrid>
      <w:tr w:rsidR="004A61C1" w:rsidRPr="007E0561" w:rsidTr="007E0561">
        <w:trPr>
          <w:trHeight w:val="480"/>
        </w:trPr>
        <w:tc>
          <w:tcPr>
            <w:tcW w:w="587" w:type="dxa"/>
            <w:shd w:val="clear" w:color="auto" w:fill="auto"/>
            <w:vAlign w:val="center"/>
            <w:hideMark/>
          </w:tcPr>
          <w:p w:rsidR="004A61C1" w:rsidRPr="007E0561" w:rsidRDefault="004A61C1" w:rsidP="0034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:rsidR="004A61C1" w:rsidRPr="007E0561" w:rsidRDefault="004A61C1" w:rsidP="0034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807" w:type="dxa"/>
            <w:shd w:val="clear" w:color="auto" w:fill="auto"/>
            <w:vAlign w:val="center"/>
            <w:hideMark/>
          </w:tcPr>
          <w:p w:rsidR="004A61C1" w:rsidRPr="007E0561" w:rsidRDefault="004A61C1" w:rsidP="0034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Техническая характеристика (комплектация) закупаемых товаров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A61C1" w:rsidRPr="007E0561" w:rsidRDefault="004A61C1" w:rsidP="0034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4A61C1" w:rsidRPr="007E0561" w:rsidRDefault="004A61C1" w:rsidP="0034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Количество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4A61C1" w:rsidRPr="007E0561" w:rsidRDefault="004A61C1" w:rsidP="0034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(тенге)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61C1" w:rsidRPr="007E0561" w:rsidRDefault="004A61C1" w:rsidP="0034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 (тенге)</w:t>
            </w:r>
          </w:p>
        </w:tc>
      </w:tr>
      <w:tr w:rsidR="004A61C1" w:rsidRPr="007E0561" w:rsidTr="007E0561">
        <w:trPr>
          <w:trHeight w:val="788"/>
        </w:trPr>
        <w:tc>
          <w:tcPr>
            <w:tcW w:w="587" w:type="dxa"/>
            <w:shd w:val="clear" w:color="auto" w:fill="auto"/>
            <w:vAlign w:val="center"/>
            <w:hideMark/>
          </w:tcPr>
          <w:p w:rsidR="004A61C1" w:rsidRPr="007E0561" w:rsidRDefault="004A61C1" w:rsidP="0034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4A61C1" w:rsidRPr="007E0561" w:rsidRDefault="004A61C1" w:rsidP="00342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Феморальные</w:t>
            </w:r>
            <w:proofErr w:type="spellEnd"/>
            <w:r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интродьюсеры</w:t>
            </w:r>
            <w:proofErr w:type="spellEnd"/>
            <w:r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6</w:t>
            </w:r>
            <w:r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F</w:t>
            </w:r>
          </w:p>
        </w:tc>
        <w:tc>
          <w:tcPr>
            <w:tcW w:w="7807" w:type="dxa"/>
            <w:shd w:val="clear" w:color="auto" w:fill="auto"/>
            <w:vAlign w:val="center"/>
          </w:tcPr>
          <w:p w:rsidR="004A61C1" w:rsidRPr="007E0561" w:rsidRDefault="004A61C1" w:rsidP="00342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0561">
              <w:rPr>
                <w:rFonts w:ascii="Times New Roman" w:hAnsi="Times New Roman"/>
                <w:sz w:val="18"/>
                <w:szCs w:val="18"/>
              </w:rPr>
              <w:t>Феморальный</w:t>
            </w:r>
            <w:proofErr w:type="spellEnd"/>
            <w:r w:rsidRPr="007E05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E0561">
              <w:rPr>
                <w:rFonts w:ascii="Times New Roman" w:hAnsi="Times New Roman"/>
                <w:sz w:val="18"/>
                <w:szCs w:val="18"/>
              </w:rPr>
              <w:t>интродьюсер</w:t>
            </w:r>
            <w:proofErr w:type="spellEnd"/>
            <w:r w:rsidRPr="007E056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7E0561">
              <w:rPr>
                <w:rFonts w:ascii="Times New Roman" w:hAnsi="Times New Roman"/>
                <w:sz w:val="18"/>
                <w:szCs w:val="18"/>
              </w:rPr>
              <w:t>Интродьюсер</w:t>
            </w:r>
            <w:proofErr w:type="spellEnd"/>
            <w:r w:rsidRPr="007E0561">
              <w:rPr>
                <w:rFonts w:ascii="Times New Roman" w:hAnsi="Times New Roman"/>
                <w:sz w:val="18"/>
                <w:szCs w:val="18"/>
              </w:rPr>
              <w:t>-порт для проведения диагностического и интервенционного инструментария в сосудистое русло для проведения коронарографии.</w:t>
            </w:r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Материал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интродьюсера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рентгенконтрастный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полиэтиленовый пластик, смазывающее покрытие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SiLX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® канюли, сосудистого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дилятора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SLIX™ клапана.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Шестилепестковый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гемостатический клапан (А). Наличие бокового отведения для обмывания инструмента, введения контрольного вещества, иных лекарственных растворов. Трехходовой краник для управления боковым портом. Наличие специального замка для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дилятора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исключения возможности его дислокации при проведении через мягкие ткани. Возможность поставки с мини-проводником (двухсторонний, длина 45 см) для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интродьюсеров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длиной 11 см. Цветовая кодировка размеров. 5 штук в упаковке. Размеры: Ø 4, 5, 6, 7 F (5,5, 11 и 23 см), Ø 5,5 и 6,5 F (11 см), Ø 8, 9, 10 и 11 F (11 и 23 см). Игла металлическая пункционная без стилета с прозрачным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хабом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Люеровским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соединением. Обеспечивает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чрезкожную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пункцию сосудов для проведения диагностических и интервенционных инструментов. Диаметр иглы от 18G до 21G. Внутренний просвет от 0.021" до 0.038". Длина: 3,8 см (педиатрическая), 5 см (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трансрадиальная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) и 7 см (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феморальная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). Возможна поставка со съемными крылышками для обеспечения лучшего упора при пункции.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A61C1" w:rsidRPr="007E0561" w:rsidRDefault="004A61C1" w:rsidP="0034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A61C1" w:rsidRPr="007E0561" w:rsidRDefault="004A61C1" w:rsidP="0034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A61C1" w:rsidRPr="007E0561" w:rsidRDefault="004A61C1" w:rsidP="004A61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10 590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1C1" w:rsidRPr="007E0561" w:rsidRDefault="004A61C1" w:rsidP="0034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264 750,00</w:t>
            </w:r>
          </w:p>
        </w:tc>
      </w:tr>
      <w:tr w:rsidR="004A61C1" w:rsidRPr="007E0561" w:rsidTr="007E0561">
        <w:trPr>
          <w:trHeight w:val="1154"/>
        </w:trPr>
        <w:tc>
          <w:tcPr>
            <w:tcW w:w="587" w:type="dxa"/>
            <w:shd w:val="clear" w:color="auto" w:fill="auto"/>
            <w:vAlign w:val="center"/>
            <w:hideMark/>
          </w:tcPr>
          <w:p w:rsidR="004A61C1" w:rsidRPr="007E0561" w:rsidRDefault="004A61C1" w:rsidP="0034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79" w:type="dxa"/>
            <w:shd w:val="clear" w:color="000000" w:fill="FFFFFF"/>
            <w:vAlign w:val="center"/>
          </w:tcPr>
          <w:p w:rsidR="004A61C1" w:rsidRPr="007E0561" w:rsidRDefault="004A61C1" w:rsidP="00342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Феморальные</w:t>
            </w:r>
            <w:proofErr w:type="spellEnd"/>
            <w:r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интродьюсеры</w:t>
            </w:r>
            <w:proofErr w:type="spellEnd"/>
            <w:r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8</w:t>
            </w:r>
            <w:r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F</w:t>
            </w:r>
          </w:p>
        </w:tc>
        <w:tc>
          <w:tcPr>
            <w:tcW w:w="7807" w:type="dxa"/>
            <w:shd w:val="clear" w:color="auto" w:fill="auto"/>
            <w:vAlign w:val="center"/>
          </w:tcPr>
          <w:p w:rsidR="004A61C1" w:rsidRPr="007E0561" w:rsidRDefault="004A61C1" w:rsidP="00342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0561">
              <w:rPr>
                <w:rFonts w:ascii="Times New Roman" w:hAnsi="Times New Roman"/>
                <w:sz w:val="18"/>
                <w:szCs w:val="18"/>
              </w:rPr>
              <w:t>Феморальный</w:t>
            </w:r>
            <w:proofErr w:type="spellEnd"/>
            <w:r w:rsidRPr="007E05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E0561">
              <w:rPr>
                <w:rFonts w:ascii="Times New Roman" w:hAnsi="Times New Roman"/>
                <w:sz w:val="18"/>
                <w:szCs w:val="18"/>
              </w:rPr>
              <w:t>интродьюсер</w:t>
            </w:r>
            <w:proofErr w:type="spellEnd"/>
            <w:r w:rsidRPr="007E056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7E0561">
              <w:rPr>
                <w:rFonts w:ascii="Times New Roman" w:hAnsi="Times New Roman"/>
                <w:sz w:val="18"/>
                <w:szCs w:val="18"/>
              </w:rPr>
              <w:t>Интродьюсер</w:t>
            </w:r>
            <w:proofErr w:type="spellEnd"/>
            <w:r w:rsidRPr="007E0561">
              <w:rPr>
                <w:rFonts w:ascii="Times New Roman" w:hAnsi="Times New Roman"/>
                <w:sz w:val="18"/>
                <w:szCs w:val="18"/>
              </w:rPr>
              <w:t>-порт для проведения диагностического и интервенционного инструментария в сосудистое русло для проведения коронарографии.</w:t>
            </w:r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Материал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интродьюсера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рентгенконтрастный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полиэтиленовый пластик, смазывающее покрытие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SiLX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® канюли, сосудистого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дилятора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SLIX™ клапана.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Шестилепестковый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гемостатический клапан (А). Наличие бокового отведения для обмывания инструмента, введения контрольного вещества, иных лекарственных растворов. Трехходовой краник для управления боковым портом. Наличие специального замка для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дилятора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исключения возможности его дислокации при проведении через мягкие ткани. Возможность поставки с мини-проводником (двухсторонний, длина 45 см) для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интродьюсеров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длиной 11 см. Цветовая кодировка размеров. 5 штук в упаковке. Размеры: Ø 4, 5, 6, 7 F (5,5, 11 и 23 см), Ø 5,5 и 6,5 F (11 см), Ø 8, 9, 10 и 11 F (11 и 23 см). Игла металлическая пункционная без стилета с прозрачным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хабом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Люеровским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соединением. Обеспечивает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чрезкожную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пункцию сосудов для проведения диагностических и интервенционных инструментов. Диаметр иглы от 18G до 21G. Внутренний просвет от 0.021" до 0.038". Длина: 3,8 см (педиатрическая), 5 см (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трансрадиальная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) и 7 см (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феморальная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). Возможна поставка со съемными крылышками для обеспечения лучшего упора при пункции. 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4A61C1" w:rsidRPr="007E0561" w:rsidRDefault="004A61C1" w:rsidP="0034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000000" w:fill="FFFFFF"/>
            <w:vAlign w:val="center"/>
          </w:tcPr>
          <w:p w:rsidR="004A61C1" w:rsidRPr="007E0561" w:rsidRDefault="004A61C1" w:rsidP="0034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43" w:type="dxa"/>
            <w:shd w:val="clear" w:color="000000" w:fill="FFFFFF"/>
            <w:vAlign w:val="center"/>
          </w:tcPr>
          <w:p w:rsidR="004A61C1" w:rsidRPr="007E0561" w:rsidRDefault="004A61C1" w:rsidP="004A61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10 590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1C1" w:rsidRPr="007E0561" w:rsidRDefault="004A61C1" w:rsidP="0034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264 750,00</w:t>
            </w:r>
          </w:p>
        </w:tc>
      </w:tr>
      <w:tr w:rsidR="004A61C1" w:rsidRPr="007E0561" w:rsidTr="007E0561">
        <w:trPr>
          <w:trHeight w:val="1992"/>
        </w:trPr>
        <w:tc>
          <w:tcPr>
            <w:tcW w:w="587" w:type="dxa"/>
            <w:shd w:val="clear" w:color="auto" w:fill="auto"/>
            <w:vAlign w:val="center"/>
            <w:hideMark/>
          </w:tcPr>
          <w:p w:rsidR="004A61C1" w:rsidRPr="007E0561" w:rsidRDefault="004A61C1" w:rsidP="0034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lastRenderedPageBreak/>
              <w:t>3</w:t>
            </w:r>
          </w:p>
        </w:tc>
        <w:tc>
          <w:tcPr>
            <w:tcW w:w="2379" w:type="dxa"/>
            <w:shd w:val="clear" w:color="000000" w:fill="FFFFFF"/>
            <w:vAlign w:val="center"/>
          </w:tcPr>
          <w:p w:rsidR="004A61C1" w:rsidRPr="007E0561" w:rsidRDefault="007E0561" w:rsidP="007E0561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7E056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Проводниковый катетер 6F</w:t>
            </w:r>
          </w:p>
        </w:tc>
        <w:tc>
          <w:tcPr>
            <w:tcW w:w="7807" w:type="dxa"/>
            <w:shd w:val="clear" w:color="auto" w:fill="auto"/>
            <w:vAlign w:val="center"/>
          </w:tcPr>
          <w:p w:rsidR="004A61C1" w:rsidRPr="007E0561" w:rsidRDefault="007E0561" w:rsidP="003420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7E0561">
              <w:rPr>
                <w:rFonts w:ascii="Times New Roman" w:hAnsi="Times New Roman"/>
                <w:sz w:val="18"/>
                <w:szCs w:val="18"/>
              </w:rPr>
              <w:t>Катетер проводниковый периферический.</w:t>
            </w:r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Материал катетера – наружный слой –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Nylon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(нейлон), средняя часть – армированная двухслойная стальная оплетка, внутренний слой – PTFE покрытие (политетрафторэтилен), дистальный кончик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рентгенконтрастный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(длина 2,5 мм).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Мультисегментный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дизайн.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Термосплавка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отдельных сегментов (мягкого кончика, формирующейся части, основного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шафта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), кончик мягкий, гибкий,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атравматичный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. «Гибридная технология» оплетки увеличивает внутренний просвет и обеспечивает поддержку во время манипуляции. Армирование стенки катетера стальной сеткой препятствует перегибанию устройства в местах анатомических изгибов. Постоянный внутренний просвет по всей длине. Внутренний просвет катетера: 9 F – 0.098", 8 F – 0.088", 7 F – 0.078" (А)</w:t>
            </w:r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 xml:space="preserve"> Размеры: длина 80, 90, 95, 100 и 125 см</w:t>
            </w:r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br w:type="page"/>
              <w:t xml:space="preserve">. 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4A61C1" w:rsidRPr="007E0561" w:rsidRDefault="007E0561" w:rsidP="003420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000000" w:fill="FFFFFF"/>
            <w:vAlign w:val="center"/>
          </w:tcPr>
          <w:p w:rsidR="004A61C1" w:rsidRPr="007E0561" w:rsidRDefault="007E0561" w:rsidP="003420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43" w:type="dxa"/>
            <w:shd w:val="clear" w:color="000000" w:fill="FFFFFF"/>
            <w:vAlign w:val="center"/>
          </w:tcPr>
          <w:p w:rsidR="004A61C1" w:rsidRPr="007E0561" w:rsidRDefault="007E0561" w:rsidP="003420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36 990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1C1" w:rsidRPr="007E0561" w:rsidRDefault="007E0561" w:rsidP="003420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554 850,00</w:t>
            </w:r>
          </w:p>
        </w:tc>
      </w:tr>
      <w:tr w:rsidR="004A61C1" w:rsidRPr="007E0561" w:rsidTr="007E0561">
        <w:trPr>
          <w:trHeight w:val="562"/>
        </w:trPr>
        <w:tc>
          <w:tcPr>
            <w:tcW w:w="587" w:type="dxa"/>
            <w:shd w:val="clear" w:color="auto" w:fill="auto"/>
            <w:vAlign w:val="center"/>
          </w:tcPr>
          <w:p w:rsidR="004A61C1" w:rsidRPr="007E0561" w:rsidRDefault="004A61C1" w:rsidP="0034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379" w:type="dxa"/>
            <w:shd w:val="clear" w:color="000000" w:fill="FFFFFF"/>
            <w:vAlign w:val="center"/>
          </w:tcPr>
          <w:p w:rsidR="004A61C1" w:rsidRPr="007E0561" w:rsidRDefault="007E0561" w:rsidP="007E056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E0561">
              <w:rPr>
                <w:rFonts w:ascii="Times New Roman" w:hAnsi="Times New Roman"/>
                <w:sz w:val="18"/>
                <w:szCs w:val="18"/>
              </w:rPr>
              <w:t>Проводниковый катетер 6</w:t>
            </w:r>
            <w:r w:rsidR="001C2981">
              <w:rPr>
                <w:rFonts w:ascii="Times New Roman" w:hAnsi="Times New Roman"/>
                <w:sz w:val="18"/>
                <w:szCs w:val="18"/>
                <w:lang w:val="en-US"/>
              </w:rPr>
              <w:t>F</w:t>
            </w:r>
            <w:bookmarkStart w:id="1" w:name="_GoBack"/>
            <w:bookmarkEnd w:id="1"/>
            <w:r w:rsidRPr="007E05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0561">
              <w:rPr>
                <w:rFonts w:ascii="Times New Roman" w:hAnsi="Times New Roman"/>
                <w:sz w:val="18"/>
                <w:szCs w:val="18"/>
                <w:lang w:val="en-US"/>
              </w:rPr>
              <w:t>MPC</w:t>
            </w:r>
          </w:p>
        </w:tc>
        <w:tc>
          <w:tcPr>
            <w:tcW w:w="7807" w:type="dxa"/>
            <w:shd w:val="clear" w:color="auto" w:fill="auto"/>
            <w:vAlign w:val="center"/>
          </w:tcPr>
          <w:p w:rsidR="004A61C1" w:rsidRPr="007E0561" w:rsidRDefault="007E0561" w:rsidP="003420BC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Проводниковый катетер. Проксимальная часть - нейлон, дистальная - полиуретан. Длина - 90, 95, 100 см. Наружный диаметр - 5,6,7 F. Армированная стенка катетера – двухслойная стальная сетка до кончика. "Гибридная технология" оплетки. Внутренняя выстилка - тефлон. Материал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хаба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поликарбонат. Мягкий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атравматичный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кончик длиной 0.011". Внутренний просвет катетера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катетера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не менее 0.056". Внутренний просвет катетера 6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Fr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катетера - не менее 0.070". Внутренний просвет катетера 7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Fr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катетера - не менее 0.078". Форма кончика - CBL, MPC, MPD, SIM, SIM 2, STR,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Cerebral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Headhunter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Headhunter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I,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Multipur-pose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HH-1, H1,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Strai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Simmon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Cereb</w:t>
            </w:r>
            <w:proofErr w:type="spellEnd"/>
            <w:r w:rsidRPr="007E0561">
              <w:rPr>
                <w:rFonts w:ascii="Times New Roman" w:hAnsi="Times New Roman"/>
                <w:color w:val="000000"/>
                <w:sz w:val="18"/>
                <w:szCs w:val="18"/>
              </w:rPr>
              <w:t>. Поставляется стерильным.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4A61C1" w:rsidRPr="007E0561" w:rsidRDefault="007E0561" w:rsidP="00342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179" w:type="dxa"/>
            <w:shd w:val="clear" w:color="000000" w:fill="FFFFFF"/>
            <w:vAlign w:val="center"/>
          </w:tcPr>
          <w:p w:rsidR="004A61C1" w:rsidRPr="007E0561" w:rsidRDefault="007E0561" w:rsidP="003420B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000000" w:fill="FFFFFF"/>
            <w:vAlign w:val="center"/>
          </w:tcPr>
          <w:p w:rsidR="004A61C1" w:rsidRPr="007E0561" w:rsidRDefault="007E0561" w:rsidP="003420B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113 400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1C1" w:rsidRPr="007E0561" w:rsidRDefault="007E0561" w:rsidP="003420B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1 134 000,</w:t>
            </w:r>
            <w:r w:rsidR="001C2981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</w:tr>
      <w:tr w:rsidR="004A61C1" w:rsidRPr="007E0561" w:rsidTr="007E0561">
        <w:trPr>
          <w:trHeight w:val="561"/>
        </w:trPr>
        <w:tc>
          <w:tcPr>
            <w:tcW w:w="587" w:type="dxa"/>
            <w:shd w:val="clear" w:color="auto" w:fill="auto"/>
            <w:vAlign w:val="center"/>
            <w:hideMark/>
          </w:tcPr>
          <w:p w:rsidR="004A61C1" w:rsidRPr="007E0561" w:rsidRDefault="004A61C1" w:rsidP="0034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379" w:type="dxa"/>
            <w:shd w:val="clear" w:color="000000" w:fill="FFFFFF"/>
            <w:vAlign w:val="center"/>
          </w:tcPr>
          <w:p w:rsidR="004A61C1" w:rsidRPr="007E0561" w:rsidRDefault="007E0561" w:rsidP="007E05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E0561">
              <w:rPr>
                <w:rFonts w:ascii="Times New Roman" w:hAnsi="Times New Roman"/>
                <w:sz w:val="18"/>
                <w:szCs w:val="18"/>
              </w:rPr>
              <w:t>Полотно нетканое антимикробное сорбционное размер 10х10 см</w:t>
            </w:r>
          </w:p>
        </w:tc>
        <w:tc>
          <w:tcPr>
            <w:tcW w:w="7807" w:type="dxa"/>
            <w:shd w:val="clear" w:color="auto" w:fill="auto"/>
            <w:vAlign w:val="center"/>
          </w:tcPr>
          <w:p w:rsidR="007E0561" w:rsidRPr="007E0561" w:rsidRDefault="007E0561" w:rsidP="007E05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E0561">
              <w:rPr>
                <w:rFonts w:ascii="Times New Roman" w:hAnsi="Times New Roman"/>
                <w:sz w:val="18"/>
                <w:szCs w:val="18"/>
              </w:rPr>
              <w:t xml:space="preserve">Комбинированное изделие, состоящее из </w:t>
            </w:r>
            <w:proofErr w:type="spellStart"/>
            <w:r w:rsidRPr="007E0561">
              <w:rPr>
                <w:rFonts w:ascii="Times New Roman" w:hAnsi="Times New Roman"/>
                <w:sz w:val="18"/>
                <w:szCs w:val="18"/>
              </w:rPr>
              <w:t>атравматичного</w:t>
            </w:r>
            <w:proofErr w:type="spellEnd"/>
            <w:r w:rsidRPr="007E0561">
              <w:rPr>
                <w:rFonts w:ascii="Times New Roman" w:hAnsi="Times New Roman"/>
                <w:sz w:val="18"/>
                <w:szCs w:val="18"/>
              </w:rPr>
              <w:t xml:space="preserve"> слоя на основе трикотажного сетчатого полотна, защитного слоя на основе нетканого полотна импрегнированного частицами коллоидного серебра «МВ-2010» и сорбирующего слоя с частицами </w:t>
            </w:r>
            <w:proofErr w:type="spellStart"/>
            <w:r w:rsidRPr="007E0561">
              <w:rPr>
                <w:rFonts w:ascii="Times New Roman" w:hAnsi="Times New Roman"/>
                <w:sz w:val="18"/>
                <w:szCs w:val="18"/>
              </w:rPr>
              <w:t>оксигидрооксида</w:t>
            </w:r>
            <w:proofErr w:type="spellEnd"/>
            <w:r w:rsidRPr="007E0561">
              <w:rPr>
                <w:rFonts w:ascii="Times New Roman" w:hAnsi="Times New Roman"/>
                <w:sz w:val="18"/>
                <w:szCs w:val="18"/>
              </w:rPr>
              <w:t xml:space="preserve"> алюминия.</w:t>
            </w:r>
          </w:p>
          <w:p w:rsidR="004A61C1" w:rsidRPr="007E0561" w:rsidRDefault="004A61C1" w:rsidP="007E05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4A61C1" w:rsidRPr="007E0561" w:rsidRDefault="007E0561" w:rsidP="0034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000000" w:fill="FFFFFF"/>
            <w:vAlign w:val="center"/>
          </w:tcPr>
          <w:p w:rsidR="004A61C1" w:rsidRPr="007E0561" w:rsidRDefault="007E0561" w:rsidP="0034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43" w:type="dxa"/>
            <w:shd w:val="clear" w:color="000000" w:fill="FFFFFF"/>
            <w:vAlign w:val="center"/>
          </w:tcPr>
          <w:p w:rsidR="004A61C1" w:rsidRPr="007E0561" w:rsidRDefault="007E0561" w:rsidP="0034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1C1" w:rsidRPr="003F619E" w:rsidRDefault="003F619E" w:rsidP="0034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1 060 000,00</w:t>
            </w:r>
          </w:p>
        </w:tc>
      </w:tr>
      <w:tr w:rsidR="004A61C1" w:rsidRPr="007E0561" w:rsidTr="007E0561">
        <w:trPr>
          <w:trHeight w:val="561"/>
        </w:trPr>
        <w:tc>
          <w:tcPr>
            <w:tcW w:w="587" w:type="dxa"/>
            <w:shd w:val="clear" w:color="auto" w:fill="auto"/>
            <w:vAlign w:val="center"/>
            <w:hideMark/>
          </w:tcPr>
          <w:p w:rsidR="004A61C1" w:rsidRPr="007E0561" w:rsidRDefault="004A61C1" w:rsidP="0034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379" w:type="dxa"/>
            <w:shd w:val="clear" w:color="000000" w:fill="FFFFFF"/>
            <w:vAlign w:val="center"/>
          </w:tcPr>
          <w:p w:rsidR="004A61C1" w:rsidRPr="007E0561" w:rsidRDefault="007E0561" w:rsidP="007E05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E0561">
              <w:rPr>
                <w:rFonts w:ascii="Times New Roman" w:hAnsi="Times New Roman"/>
                <w:sz w:val="18"/>
                <w:szCs w:val="18"/>
              </w:rPr>
              <w:t>Полотно нетканое антимикробное сорбционное размер 10х20 см</w:t>
            </w:r>
          </w:p>
        </w:tc>
        <w:tc>
          <w:tcPr>
            <w:tcW w:w="7807" w:type="dxa"/>
            <w:shd w:val="clear" w:color="auto" w:fill="auto"/>
            <w:vAlign w:val="center"/>
          </w:tcPr>
          <w:p w:rsidR="007E0561" w:rsidRPr="007E0561" w:rsidRDefault="007E0561" w:rsidP="007E05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E0561">
              <w:rPr>
                <w:rFonts w:ascii="Times New Roman" w:hAnsi="Times New Roman"/>
                <w:sz w:val="18"/>
                <w:szCs w:val="18"/>
              </w:rPr>
              <w:t xml:space="preserve">Комбинированное изделие, состоящее из </w:t>
            </w:r>
            <w:proofErr w:type="spellStart"/>
            <w:r w:rsidRPr="007E0561">
              <w:rPr>
                <w:rFonts w:ascii="Times New Roman" w:hAnsi="Times New Roman"/>
                <w:sz w:val="18"/>
                <w:szCs w:val="18"/>
              </w:rPr>
              <w:t>атравматичного</w:t>
            </w:r>
            <w:proofErr w:type="spellEnd"/>
            <w:r w:rsidRPr="007E0561">
              <w:rPr>
                <w:rFonts w:ascii="Times New Roman" w:hAnsi="Times New Roman"/>
                <w:sz w:val="18"/>
                <w:szCs w:val="18"/>
              </w:rPr>
              <w:t xml:space="preserve"> слоя на основе трикотажного сетчатого полотна, защитного слоя на основе нетканого полотна импрегнированного частицами коллоидного серебра «МВ-2010» и сорбирующего слоя с частицами </w:t>
            </w:r>
            <w:proofErr w:type="spellStart"/>
            <w:r w:rsidRPr="007E0561">
              <w:rPr>
                <w:rFonts w:ascii="Times New Roman" w:hAnsi="Times New Roman"/>
                <w:sz w:val="18"/>
                <w:szCs w:val="18"/>
              </w:rPr>
              <w:t>оксигидрооксида</w:t>
            </w:r>
            <w:proofErr w:type="spellEnd"/>
            <w:r w:rsidRPr="007E0561">
              <w:rPr>
                <w:rFonts w:ascii="Times New Roman" w:hAnsi="Times New Roman"/>
                <w:sz w:val="18"/>
                <w:szCs w:val="18"/>
              </w:rPr>
              <w:t xml:space="preserve"> алюминия.</w:t>
            </w:r>
          </w:p>
          <w:p w:rsidR="004A61C1" w:rsidRPr="007E0561" w:rsidRDefault="004A61C1" w:rsidP="007E05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4A61C1" w:rsidRPr="007E0561" w:rsidRDefault="007E0561" w:rsidP="0034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000000" w:fill="FFFFFF"/>
            <w:vAlign w:val="center"/>
          </w:tcPr>
          <w:p w:rsidR="004A61C1" w:rsidRPr="007E0561" w:rsidRDefault="007E0561" w:rsidP="0034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143" w:type="dxa"/>
            <w:shd w:val="clear" w:color="000000" w:fill="FFFFFF"/>
            <w:vAlign w:val="center"/>
          </w:tcPr>
          <w:p w:rsidR="004A61C1" w:rsidRPr="007E0561" w:rsidRDefault="007E0561" w:rsidP="0034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2 380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1C1" w:rsidRPr="003F619E" w:rsidRDefault="003F619E" w:rsidP="0034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833 000,00</w:t>
            </w:r>
          </w:p>
        </w:tc>
      </w:tr>
      <w:tr w:rsidR="004A61C1" w:rsidRPr="007E0561" w:rsidTr="007E0561">
        <w:trPr>
          <w:trHeight w:val="300"/>
        </w:trPr>
        <w:tc>
          <w:tcPr>
            <w:tcW w:w="587" w:type="dxa"/>
            <w:shd w:val="clear" w:color="auto" w:fill="auto"/>
            <w:vAlign w:val="center"/>
            <w:hideMark/>
          </w:tcPr>
          <w:p w:rsidR="004A61C1" w:rsidRPr="007E0561" w:rsidRDefault="004A61C1" w:rsidP="0034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379" w:type="dxa"/>
            <w:shd w:val="clear" w:color="000000" w:fill="FFFFFF"/>
            <w:vAlign w:val="center"/>
          </w:tcPr>
          <w:p w:rsidR="004A61C1" w:rsidRPr="007E0561" w:rsidRDefault="007E0561" w:rsidP="007E05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E0561">
              <w:rPr>
                <w:rFonts w:ascii="Times New Roman" w:hAnsi="Times New Roman"/>
                <w:sz w:val="18"/>
                <w:szCs w:val="18"/>
              </w:rPr>
              <w:t>Полотно нетканое антимикробное сорбционное размер 10х30 см</w:t>
            </w:r>
          </w:p>
        </w:tc>
        <w:tc>
          <w:tcPr>
            <w:tcW w:w="7807" w:type="dxa"/>
            <w:shd w:val="clear" w:color="auto" w:fill="auto"/>
            <w:vAlign w:val="center"/>
          </w:tcPr>
          <w:p w:rsidR="007E0561" w:rsidRPr="007E0561" w:rsidRDefault="007E0561" w:rsidP="007E05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7E0561">
              <w:rPr>
                <w:rFonts w:ascii="Times New Roman" w:hAnsi="Times New Roman"/>
                <w:sz w:val="18"/>
                <w:szCs w:val="18"/>
              </w:rPr>
              <w:t xml:space="preserve">Комбинированное изделие, состоящее из </w:t>
            </w:r>
            <w:proofErr w:type="spellStart"/>
            <w:r w:rsidRPr="007E0561">
              <w:rPr>
                <w:rFonts w:ascii="Times New Roman" w:hAnsi="Times New Roman"/>
                <w:sz w:val="18"/>
                <w:szCs w:val="18"/>
              </w:rPr>
              <w:t>атравматичного</w:t>
            </w:r>
            <w:proofErr w:type="spellEnd"/>
            <w:r w:rsidRPr="007E0561">
              <w:rPr>
                <w:rFonts w:ascii="Times New Roman" w:hAnsi="Times New Roman"/>
                <w:sz w:val="18"/>
                <w:szCs w:val="18"/>
              </w:rPr>
              <w:t xml:space="preserve"> слоя на основе трикотажного сетчатого полотна, защитного слоя на основе нетканого полотна импрегнированного частицами коллоидного серебра «МВ-2010» и сорбирующего слоя с частицами </w:t>
            </w:r>
            <w:proofErr w:type="spellStart"/>
            <w:r w:rsidRPr="007E0561">
              <w:rPr>
                <w:rFonts w:ascii="Times New Roman" w:hAnsi="Times New Roman"/>
                <w:sz w:val="18"/>
                <w:szCs w:val="18"/>
              </w:rPr>
              <w:t>оксигидрооксида</w:t>
            </w:r>
            <w:proofErr w:type="spellEnd"/>
            <w:r w:rsidRPr="007E0561">
              <w:rPr>
                <w:rFonts w:ascii="Times New Roman" w:hAnsi="Times New Roman"/>
                <w:sz w:val="18"/>
                <w:szCs w:val="18"/>
              </w:rPr>
              <w:t xml:space="preserve"> алюминия.</w:t>
            </w:r>
          </w:p>
          <w:p w:rsidR="004A61C1" w:rsidRPr="007E0561" w:rsidRDefault="004A61C1" w:rsidP="007E05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000000" w:fill="FFFFFF"/>
            <w:vAlign w:val="center"/>
          </w:tcPr>
          <w:p w:rsidR="004A61C1" w:rsidRPr="007E0561" w:rsidRDefault="007E0561" w:rsidP="0034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000000" w:fill="FFFFFF"/>
            <w:vAlign w:val="center"/>
          </w:tcPr>
          <w:p w:rsidR="004A61C1" w:rsidRPr="007E0561" w:rsidRDefault="007E0561" w:rsidP="0034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43" w:type="dxa"/>
            <w:shd w:val="clear" w:color="000000" w:fill="FFFFFF"/>
            <w:vAlign w:val="center"/>
          </w:tcPr>
          <w:p w:rsidR="007E0561" w:rsidRPr="007E0561" w:rsidRDefault="007E0561" w:rsidP="007E05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7 145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1C1" w:rsidRPr="003F619E" w:rsidRDefault="003F619E" w:rsidP="0034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1 071 750,00</w:t>
            </w:r>
          </w:p>
        </w:tc>
      </w:tr>
      <w:tr w:rsidR="004A61C1" w:rsidRPr="007E0561" w:rsidTr="004A61C1">
        <w:trPr>
          <w:trHeight w:val="321"/>
        </w:trPr>
        <w:tc>
          <w:tcPr>
            <w:tcW w:w="15451" w:type="dxa"/>
            <w:gridSpan w:val="7"/>
            <w:shd w:val="clear" w:color="auto" w:fill="auto"/>
            <w:vAlign w:val="center"/>
            <w:hideMark/>
          </w:tcPr>
          <w:p w:rsidR="004A61C1" w:rsidRPr="003F619E" w:rsidRDefault="004A61C1" w:rsidP="003F61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619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ИТОГО: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F619E" w:rsidRPr="003F619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5 183 100,00</w:t>
            </w:r>
          </w:p>
        </w:tc>
      </w:tr>
    </w:tbl>
    <w:p w:rsidR="004A61C1" w:rsidRDefault="004A61C1" w:rsidP="004A61C1">
      <w:pPr>
        <w:spacing w:line="240" w:lineRule="auto"/>
        <w:ind w:right="142"/>
        <w:contextualSpacing/>
        <w:jc w:val="both"/>
        <w:rPr>
          <w:rFonts w:ascii="Times New Roman" w:hAnsi="Times New Roman"/>
          <w:sz w:val="16"/>
          <w:szCs w:val="16"/>
          <w:lang w:val="kk-KZ"/>
        </w:rPr>
      </w:pPr>
    </w:p>
    <w:p w:rsidR="004A61C1" w:rsidRPr="008D4B4D" w:rsidRDefault="004A61C1" w:rsidP="004A61C1">
      <w:pPr>
        <w:pStyle w:val="a5"/>
        <w:numPr>
          <w:ilvl w:val="0"/>
          <w:numId w:val="2"/>
        </w:numPr>
        <w:tabs>
          <w:tab w:val="center" w:pos="567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  <w:lang w:val="kk-KZ"/>
        </w:rPr>
      </w:pPr>
      <w:r w:rsidRPr="008D4B4D">
        <w:rPr>
          <w:rFonts w:ascii="Times New Roman" w:hAnsi="Times New Roman"/>
          <w:sz w:val="24"/>
          <w:szCs w:val="24"/>
          <w:lang w:val="kk-KZ"/>
        </w:rPr>
        <w:t>Условия поставки:</w:t>
      </w:r>
    </w:p>
    <w:p w:rsidR="004A61C1" w:rsidRDefault="004A61C1" w:rsidP="003F619E">
      <w:pPr>
        <w:tabs>
          <w:tab w:val="center" w:pos="567"/>
        </w:tabs>
        <w:spacing w:after="0" w:line="240" w:lineRule="auto"/>
        <w:ind w:left="567"/>
        <w:jc w:val="both"/>
        <w:rPr>
          <w:rFonts w:ascii="Times New Roman" w:hAnsi="Times New Roman"/>
          <w:spacing w:val="2"/>
          <w:sz w:val="24"/>
          <w:szCs w:val="24"/>
        </w:rPr>
      </w:pPr>
      <w:r w:rsidRPr="008D4B4D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Pr="008D4B4D">
        <w:rPr>
          <w:rFonts w:ascii="Times New Roman" w:hAnsi="Times New Roman"/>
          <w:spacing w:val="2"/>
          <w:sz w:val="24"/>
          <w:szCs w:val="24"/>
          <w:lang w:val="kk-KZ"/>
        </w:rPr>
        <w:t xml:space="preserve">оставка </w:t>
      </w:r>
      <w:r>
        <w:rPr>
          <w:rFonts w:ascii="Times New Roman" w:hAnsi="Times New Roman"/>
          <w:spacing w:val="2"/>
          <w:sz w:val="24"/>
          <w:szCs w:val="24"/>
        </w:rPr>
        <w:t>на условиях ИНКОТЕРМС 20</w:t>
      </w:r>
      <w:r>
        <w:rPr>
          <w:rFonts w:ascii="Times New Roman" w:hAnsi="Times New Roman"/>
          <w:spacing w:val="2"/>
          <w:sz w:val="24"/>
          <w:szCs w:val="24"/>
          <w:lang w:val="kk-KZ"/>
        </w:rPr>
        <w:t>2</w:t>
      </w:r>
      <w:r w:rsidRPr="008D4B4D">
        <w:rPr>
          <w:rFonts w:ascii="Times New Roman" w:hAnsi="Times New Roman"/>
          <w:spacing w:val="2"/>
          <w:sz w:val="24"/>
          <w:szCs w:val="24"/>
        </w:rPr>
        <w:t xml:space="preserve">0 в течении </w:t>
      </w:r>
      <w:r>
        <w:rPr>
          <w:rFonts w:ascii="Times New Roman" w:hAnsi="Times New Roman"/>
          <w:spacing w:val="2"/>
          <w:sz w:val="24"/>
          <w:szCs w:val="24"/>
        </w:rPr>
        <w:t>пя</w:t>
      </w:r>
      <w:r w:rsidRPr="008D4B4D">
        <w:rPr>
          <w:rFonts w:ascii="Times New Roman" w:hAnsi="Times New Roman"/>
          <w:spacing w:val="2"/>
          <w:sz w:val="24"/>
          <w:szCs w:val="24"/>
        </w:rPr>
        <w:t xml:space="preserve">ти календарных дней с момента получения заявки от заказчика  (город Алматы, </w:t>
      </w:r>
      <w:proofErr w:type="spellStart"/>
      <w:r>
        <w:rPr>
          <w:rFonts w:ascii="Times New Roman" w:hAnsi="Times New Roman"/>
          <w:sz w:val="24"/>
          <w:szCs w:val="24"/>
        </w:rPr>
        <w:t>Турксибский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r w:rsidRPr="008D4B4D">
        <w:rPr>
          <w:rFonts w:ascii="Times New Roman" w:hAnsi="Times New Roman"/>
          <w:spacing w:val="2"/>
          <w:sz w:val="24"/>
          <w:szCs w:val="24"/>
        </w:rPr>
        <w:t>улица Папанина</w:t>
      </w:r>
      <w:r>
        <w:rPr>
          <w:rFonts w:ascii="Times New Roman" w:hAnsi="Times New Roman"/>
          <w:spacing w:val="2"/>
          <w:sz w:val="24"/>
          <w:szCs w:val="24"/>
        </w:rPr>
        <w:t>,</w:t>
      </w:r>
      <w:r w:rsidRPr="008D4B4D">
        <w:rPr>
          <w:rFonts w:ascii="Times New Roman" w:hAnsi="Times New Roman"/>
          <w:spacing w:val="2"/>
          <w:sz w:val="24"/>
          <w:szCs w:val="24"/>
        </w:rPr>
        <w:t xml:space="preserve"> 220)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</w:p>
    <w:p w:rsidR="004A61C1" w:rsidRDefault="004A61C1" w:rsidP="003F619E">
      <w:pPr>
        <w:tabs>
          <w:tab w:val="center" w:pos="567"/>
        </w:tabs>
        <w:spacing w:after="0" w:line="240" w:lineRule="auto"/>
        <w:ind w:left="567"/>
        <w:jc w:val="both"/>
        <w:rPr>
          <w:rStyle w:val="s0"/>
          <w:b/>
          <w:sz w:val="24"/>
          <w:szCs w:val="24"/>
          <w:u w:val="single"/>
        </w:rPr>
      </w:pPr>
      <w:r w:rsidRPr="008D4B4D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4A61C1" w:rsidRPr="008D4B4D" w:rsidRDefault="004A61C1" w:rsidP="003F619E">
      <w:pPr>
        <w:tabs>
          <w:tab w:val="center" w:pos="567"/>
        </w:tabs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4A61C1" w:rsidRPr="00CA2775" w:rsidRDefault="004A61C1" w:rsidP="003F619E">
      <w:pPr>
        <w:pStyle w:val="a3"/>
        <w:numPr>
          <w:ilvl w:val="0"/>
          <w:numId w:val="1"/>
        </w:numPr>
        <w:tabs>
          <w:tab w:val="center" w:pos="426"/>
        </w:tabs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>
        <w:rPr>
          <w:spacing w:val="2"/>
          <w:lang w:val="kk-KZ"/>
        </w:rPr>
        <w:lastRenderedPageBreak/>
        <w:t>М</w:t>
      </w:r>
      <w:r w:rsidRPr="008D4B4D">
        <w:rPr>
          <w:spacing w:val="2"/>
          <w:lang w:val="kk-KZ"/>
        </w:rPr>
        <w:t xml:space="preserve">есто </w:t>
      </w:r>
      <w:r w:rsidRPr="00CA2775">
        <w:rPr>
          <w:spacing w:val="2"/>
          <w:lang w:val="kk-KZ"/>
        </w:rPr>
        <w:t>представления (приема) документов и окончательный срок подачи ценовых предложений</w:t>
      </w:r>
      <w:bookmarkStart w:id="2" w:name="z199"/>
      <w:bookmarkEnd w:id="2"/>
      <w:r w:rsidRPr="00CA2775">
        <w:rPr>
          <w:spacing w:val="2"/>
          <w:lang w:val="kk-KZ"/>
        </w:rPr>
        <w:t>:</w:t>
      </w:r>
    </w:p>
    <w:p w:rsidR="004A61C1" w:rsidRPr="00CA2775" w:rsidRDefault="004A61C1" w:rsidP="003F619E">
      <w:pPr>
        <w:tabs>
          <w:tab w:val="center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A2775">
        <w:rPr>
          <w:rFonts w:ascii="Times New Roman" w:hAnsi="Times New Roman"/>
          <w:b/>
          <w:sz w:val="24"/>
          <w:szCs w:val="24"/>
          <w:lang w:val="kk-KZ"/>
        </w:rPr>
        <w:t>КГП</w:t>
      </w:r>
      <w:r w:rsidRPr="00CA2775">
        <w:rPr>
          <w:rFonts w:ascii="Times New Roman" w:hAnsi="Times New Roman"/>
          <w:b/>
          <w:sz w:val="24"/>
          <w:szCs w:val="24"/>
        </w:rPr>
        <w:t xml:space="preserve"> на ПХВ «Городская клиническая больница №4» УОЗ города Алматы</w:t>
      </w:r>
      <w:r w:rsidRPr="00CA27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2775">
        <w:rPr>
          <w:rFonts w:ascii="Times New Roman" w:hAnsi="Times New Roman"/>
          <w:sz w:val="24"/>
          <w:szCs w:val="24"/>
        </w:rPr>
        <w:t>Турксибский</w:t>
      </w:r>
      <w:proofErr w:type="spellEnd"/>
      <w:r w:rsidRPr="00CA2775">
        <w:rPr>
          <w:rFonts w:ascii="Times New Roman" w:hAnsi="Times New Roman"/>
          <w:sz w:val="24"/>
          <w:szCs w:val="24"/>
        </w:rPr>
        <w:t xml:space="preserve"> район, улица Папанина, 220, четвертый этаж, отдел государственных закупок, окончательный срок представления подачи ценовых предложений до 12:00 часов «</w:t>
      </w:r>
      <w:r w:rsidR="003F619E">
        <w:rPr>
          <w:rFonts w:ascii="Times New Roman" w:hAnsi="Times New Roman"/>
          <w:sz w:val="24"/>
          <w:szCs w:val="24"/>
        </w:rPr>
        <w:t>27</w:t>
      </w:r>
      <w:r w:rsidRPr="00CA2775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CA2775">
        <w:rPr>
          <w:rFonts w:ascii="Times New Roman" w:hAnsi="Times New Roman"/>
          <w:sz w:val="24"/>
          <w:szCs w:val="24"/>
        </w:rPr>
        <w:t>октябр</w:t>
      </w:r>
      <w:proofErr w:type="spellEnd"/>
      <w:r w:rsidRPr="00CA2775">
        <w:rPr>
          <w:rFonts w:ascii="Times New Roman" w:hAnsi="Times New Roman"/>
          <w:sz w:val="24"/>
          <w:szCs w:val="24"/>
          <w:lang w:val="kk-KZ"/>
        </w:rPr>
        <w:t>я</w:t>
      </w:r>
      <w:r w:rsidRPr="00CA2775">
        <w:rPr>
          <w:rFonts w:ascii="Times New Roman" w:hAnsi="Times New Roman"/>
          <w:sz w:val="24"/>
          <w:szCs w:val="24"/>
        </w:rPr>
        <w:t xml:space="preserve"> 2022 года.</w:t>
      </w:r>
    </w:p>
    <w:p w:rsidR="004A61C1" w:rsidRPr="00CA2775" w:rsidRDefault="004A61C1" w:rsidP="003F619E">
      <w:pPr>
        <w:tabs>
          <w:tab w:val="center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kk-KZ"/>
        </w:rPr>
      </w:pPr>
      <w:r w:rsidRPr="00CA2775">
        <w:rPr>
          <w:rFonts w:ascii="Times New Roman" w:hAnsi="Times New Roman"/>
          <w:sz w:val="24"/>
          <w:szCs w:val="24"/>
        </w:rPr>
        <w:t xml:space="preserve">3) дата, время и место вскрытия конвертов с ценовыми предложениями - </w:t>
      </w:r>
      <w:r w:rsidRPr="00CA2775">
        <w:rPr>
          <w:rFonts w:ascii="Times New Roman" w:hAnsi="Times New Roman"/>
          <w:sz w:val="24"/>
          <w:szCs w:val="24"/>
          <w:lang w:val="kk-KZ"/>
        </w:rPr>
        <w:t>12</w:t>
      </w:r>
      <w:r w:rsidRPr="00CA2775">
        <w:rPr>
          <w:rFonts w:ascii="Times New Roman" w:hAnsi="Times New Roman"/>
          <w:sz w:val="24"/>
          <w:szCs w:val="24"/>
        </w:rPr>
        <w:t>:</w:t>
      </w:r>
      <w:r w:rsidRPr="00CA2775">
        <w:rPr>
          <w:rFonts w:ascii="Times New Roman" w:hAnsi="Times New Roman"/>
          <w:sz w:val="24"/>
          <w:szCs w:val="24"/>
          <w:lang w:val="kk-KZ"/>
        </w:rPr>
        <w:t>30</w:t>
      </w:r>
      <w:r w:rsidRPr="00CA2775">
        <w:rPr>
          <w:rFonts w:ascii="Times New Roman" w:hAnsi="Times New Roman"/>
          <w:sz w:val="24"/>
          <w:szCs w:val="24"/>
        </w:rPr>
        <w:t xml:space="preserve"> часов «</w:t>
      </w:r>
      <w:r w:rsidR="003F619E">
        <w:rPr>
          <w:rFonts w:ascii="Times New Roman" w:hAnsi="Times New Roman"/>
          <w:sz w:val="24"/>
          <w:szCs w:val="24"/>
          <w:lang w:val="kk-KZ"/>
        </w:rPr>
        <w:t>27</w:t>
      </w:r>
      <w:r w:rsidRPr="00CA2775">
        <w:rPr>
          <w:rFonts w:ascii="Times New Roman" w:hAnsi="Times New Roman"/>
          <w:sz w:val="24"/>
          <w:szCs w:val="24"/>
        </w:rPr>
        <w:t xml:space="preserve">» октября 2022 года. КГП на ПХВ «Городская клиническая больница №4» УОЗ города Алматы, </w:t>
      </w:r>
      <w:proofErr w:type="spellStart"/>
      <w:r w:rsidRPr="00CA2775">
        <w:rPr>
          <w:rFonts w:ascii="Times New Roman" w:hAnsi="Times New Roman"/>
          <w:sz w:val="24"/>
          <w:szCs w:val="24"/>
        </w:rPr>
        <w:t>Турксибский</w:t>
      </w:r>
      <w:proofErr w:type="spellEnd"/>
      <w:r w:rsidRPr="00CA2775">
        <w:rPr>
          <w:rFonts w:ascii="Times New Roman" w:hAnsi="Times New Roman"/>
          <w:sz w:val="24"/>
          <w:szCs w:val="24"/>
        </w:rPr>
        <w:t xml:space="preserve"> район, улица Папанина 220, четвертый этаж, отдел государственных закупок.</w:t>
      </w:r>
    </w:p>
    <w:p w:rsidR="004A61C1" w:rsidRPr="00CA2775" w:rsidRDefault="004A61C1" w:rsidP="003F619E">
      <w:pPr>
        <w:pStyle w:val="a3"/>
        <w:tabs>
          <w:tab w:val="center" w:pos="567"/>
        </w:tabs>
        <w:spacing w:before="0" w:beforeAutospacing="0" w:after="0" w:afterAutospacing="0"/>
        <w:ind w:left="567"/>
        <w:contextualSpacing/>
        <w:jc w:val="both"/>
        <w:textAlignment w:val="baseline"/>
        <w:rPr>
          <w:color w:val="000000"/>
          <w:spacing w:val="2"/>
          <w:shd w:val="clear" w:color="auto" w:fill="FFFFFF"/>
        </w:rPr>
      </w:pPr>
      <w:r w:rsidRPr="00CA2775">
        <w:rPr>
          <w:spacing w:val="2"/>
        </w:rPr>
        <w:t xml:space="preserve">4) </w:t>
      </w:r>
      <w:r w:rsidRPr="00CA2775">
        <w:rPr>
          <w:color w:val="000000"/>
          <w:spacing w:val="2"/>
          <w:shd w:val="clear" w:color="auto" w:fill="FFFFFF"/>
        </w:rPr>
        <w:t>Квалификационные требования, предъявляемые к потенциальному поставщику должны соответствовать Главе 3 Правил.</w:t>
      </w:r>
    </w:p>
    <w:p w:rsidR="004A61C1" w:rsidRPr="00CA2775" w:rsidRDefault="004A61C1" w:rsidP="003F619E">
      <w:pPr>
        <w:pStyle w:val="a3"/>
        <w:tabs>
          <w:tab w:val="center" w:pos="567"/>
        </w:tabs>
        <w:spacing w:before="0" w:beforeAutospacing="0" w:after="0" w:afterAutospacing="0"/>
        <w:ind w:left="567"/>
        <w:contextualSpacing/>
        <w:jc w:val="both"/>
        <w:textAlignment w:val="baseline"/>
        <w:rPr>
          <w:spacing w:val="2"/>
        </w:rPr>
      </w:pPr>
      <w:r w:rsidRPr="00CA2775">
        <w:rPr>
          <w:color w:val="000000"/>
          <w:spacing w:val="2"/>
          <w:shd w:val="clear" w:color="auto" w:fill="FFFFFF"/>
        </w:rPr>
        <w:t xml:space="preserve">5) 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Главе 4 Правил.  </w:t>
      </w:r>
    </w:p>
    <w:p w:rsidR="004A61C1" w:rsidRPr="00CA2775" w:rsidRDefault="004A61C1" w:rsidP="003F619E">
      <w:pPr>
        <w:tabs>
          <w:tab w:val="center" w:pos="567"/>
        </w:tabs>
        <w:spacing w:after="0" w:line="240" w:lineRule="auto"/>
        <w:ind w:left="567"/>
        <w:contextualSpacing/>
        <w:jc w:val="both"/>
        <w:rPr>
          <w:rStyle w:val="s0"/>
          <w:sz w:val="24"/>
          <w:szCs w:val="24"/>
        </w:rPr>
      </w:pPr>
    </w:p>
    <w:p w:rsidR="004A61C1" w:rsidRPr="00CA2775" w:rsidRDefault="004A61C1" w:rsidP="003F619E">
      <w:pPr>
        <w:tabs>
          <w:tab w:val="center" w:pos="567"/>
        </w:tabs>
        <w:spacing w:after="0" w:line="240" w:lineRule="auto"/>
        <w:ind w:left="567"/>
        <w:contextualSpacing/>
        <w:jc w:val="both"/>
        <w:rPr>
          <w:rStyle w:val="s0"/>
          <w:sz w:val="24"/>
          <w:szCs w:val="24"/>
        </w:rPr>
      </w:pPr>
      <w:r w:rsidRPr="00CA2775"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CA2775">
        <w:rPr>
          <w:rStyle w:val="s0"/>
          <w:b/>
          <w:sz w:val="24"/>
          <w:szCs w:val="24"/>
        </w:rPr>
        <w:t>запечатанном виде</w:t>
      </w:r>
      <w:r w:rsidRPr="00CA2775">
        <w:rPr>
          <w:rStyle w:val="s0"/>
          <w:sz w:val="24"/>
          <w:szCs w:val="24"/>
        </w:rPr>
        <w:t>.</w:t>
      </w:r>
    </w:p>
    <w:p w:rsidR="004A61C1" w:rsidRPr="00CA2775" w:rsidRDefault="004A61C1" w:rsidP="003F619E">
      <w:pPr>
        <w:spacing w:line="240" w:lineRule="auto"/>
        <w:ind w:left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A2775">
        <w:rPr>
          <w:rFonts w:ascii="Times New Roman" w:hAnsi="Times New Roman"/>
          <w:sz w:val="24"/>
          <w:szCs w:val="24"/>
        </w:rPr>
        <w:t xml:space="preserve">Заявка </w:t>
      </w:r>
      <w:r w:rsidRPr="00CA2775">
        <w:rPr>
          <w:rStyle w:val="s0"/>
          <w:sz w:val="24"/>
          <w:szCs w:val="24"/>
        </w:rPr>
        <w:t>потенциального поставщика</w:t>
      </w:r>
      <w:r w:rsidRPr="00CA2775">
        <w:rPr>
          <w:rFonts w:ascii="Times New Roman" w:hAnsi="Times New Roman"/>
          <w:sz w:val="24"/>
          <w:szCs w:val="24"/>
        </w:rPr>
        <w:t xml:space="preserve"> запечатывается в конверт, в котором указываются наименование и юридический адрес потенциального поставщика. Конверт подлежит адресации заказчику или организатору закупа по адресу: </w:t>
      </w:r>
      <w:r w:rsidRPr="00CA2775">
        <w:rPr>
          <w:rFonts w:ascii="Times New Roman" w:hAnsi="Times New Roman"/>
          <w:b/>
          <w:sz w:val="24"/>
          <w:szCs w:val="24"/>
        </w:rPr>
        <w:t xml:space="preserve">г. Алматы, </w:t>
      </w:r>
      <w:proofErr w:type="spellStart"/>
      <w:r w:rsidRPr="00CA2775">
        <w:rPr>
          <w:rFonts w:ascii="Times New Roman" w:hAnsi="Times New Roman"/>
          <w:b/>
          <w:sz w:val="24"/>
          <w:szCs w:val="24"/>
        </w:rPr>
        <w:t>Турксибский</w:t>
      </w:r>
      <w:proofErr w:type="spellEnd"/>
      <w:r w:rsidRPr="00CA2775">
        <w:rPr>
          <w:rFonts w:ascii="Times New Roman" w:hAnsi="Times New Roman"/>
          <w:b/>
          <w:sz w:val="24"/>
          <w:szCs w:val="24"/>
        </w:rPr>
        <w:t xml:space="preserve"> район,</w:t>
      </w:r>
      <w:r w:rsidRPr="00CA2775">
        <w:rPr>
          <w:rFonts w:ascii="Times New Roman" w:hAnsi="Times New Roman"/>
          <w:sz w:val="24"/>
          <w:szCs w:val="24"/>
        </w:rPr>
        <w:t xml:space="preserve"> </w:t>
      </w:r>
      <w:r w:rsidRPr="00CA2775">
        <w:rPr>
          <w:rFonts w:ascii="Times New Roman" w:hAnsi="Times New Roman"/>
          <w:b/>
          <w:sz w:val="24"/>
          <w:szCs w:val="24"/>
        </w:rPr>
        <w:t xml:space="preserve">улица Папанина 220, 4 этаж (Администрация), кабинет отдела государственных закупок и содержать слова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«</w:t>
      </w:r>
      <w:r w:rsidR="003F619E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CA2775">
        <w:rPr>
          <w:rFonts w:ascii="Times New Roman" w:hAnsi="Times New Roman"/>
          <w:b/>
          <w:sz w:val="24"/>
          <w:szCs w:val="24"/>
        </w:rPr>
        <w:t>о проведении закупа способом запроса ценовых предложений №</w:t>
      </w:r>
      <w:r w:rsidR="003F619E">
        <w:rPr>
          <w:rFonts w:ascii="Times New Roman" w:hAnsi="Times New Roman"/>
          <w:b/>
          <w:sz w:val="24"/>
          <w:szCs w:val="24"/>
          <w:lang w:val="kk-KZ"/>
        </w:rPr>
        <w:t>7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  <w:r w:rsidRPr="00CA277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«Не вскрывать до 12:30 часов «</w:t>
      </w:r>
      <w:r w:rsidR="003F619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27</w:t>
      </w:r>
      <w:r w:rsidRPr="00CA2775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октября 2022 года». </w:t>
      </w:r>
    </w:p>
    <w:p w:rsidR="005D3519" w:rsidRDefault="001C2981"/>
    <w:sectPr w:rsidR="005D3519" w:rsidSect="004A61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66CAB"/>
    <w:multiLevelType w:val="hybridMultilevel"/>
    <w:tmpl w:val="8A9E6356"/>
    <w:lvl w:ilvl="0" w:tplc="2482DD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5F7793"/>
    <w:multiLevelType w:val="hybridMultilevel"/>
    <w:tmpl w:val="0B4CE4BE"/>
    <w:lvl w:ilvl="0" w:tplc="E5C07A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4EBE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28A4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ED6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4683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1CAD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0B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AC42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E49C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B2648"/>
    <w:multiLevelType w:val="hybridMultilevel"/>
    <w:tmpl w:val="CDC21D66"/>
    <w:lvl w:ilvl="0" w:tplc="535E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4E4"/>
    <w:rsid w:val="000B44E4"/>
    <w:rsid w:val="001C2981"/>
    <w:rsid w:val="003F619E"/>
    <w:rsid w:val="004A61C1"/>
    <w:rsid w:val="007E0561"/>
    <w:rsid w:val="00B24A40"/>
    <w:rsid w:val="00C6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3633"/>
  <w15:docId w15:val="{2C8F46A6-BD66-4EB7-BE3A-4932ED55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61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4A61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A61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4A61C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4A61C1"/>
    <w:pPr>
      <w:ind w:left="720"/>
      <w:contextualSpacing/>
    </w:pPr>
  </w:style>
  <w:style w:type="paragraph" w:styleId="a6">
    <w:name w:val="No Spacing"/>
    <w:uiPriority w:val="1"/>
    <w:qFormat/>
    <w:rsid w:val="007E05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Нурдаулет</dc:creator>
  <cp:keywords/>
  <dc:description/>
  <cp:lastModifiedBy>User</cp:lastModifiedBy>
  <cp:revision>3</cp:revision>
  <dcterms:created xsi:type="dcterms:W3CDTF">2022-10-20T09:35:00Z</dcterms:created>
  <dcterms:modified xsi:type="dcterms:W3CDTF">2022-10-20T10:12:00Z</dcterms:modified>
</cp:coreProperties>
</file>